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hAnsi="宋体" w:eastAsia="宋体"/>
          <w:color w:val="000000" w:themeColor="text1"/>
          <w:sz w:val="32"/>
          <w:szCs w:val="32"/>
        </w:rPr>
      </w:pPr>
      <w:r>
        <w:rPr>
          <w:rFonts w:hint="eastAsia" w:ascii="宋体" w:hAnsi="宋体" w:eastAsia="宋体"/>
          <w:color w:val="000000" w:themeColor="text1"/>
          <w:sz w:val="32"/>
          <w:szCs w:val="32"/>
        </w:rPr>
        <w:t>各专业对应的课程代码</w:t>
      </w:r>
    </w:p>
    <w:tbl>
      <w:tblPr>
        <w:tblStyle w:val="5"/>
        <w:tblW w:w="10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2394"/>
        <w:gridCol w:w="5073"/>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rPr>
                <w:rFonts w:ascii="宋体" w:hAnsi="宋体" w:eastAsia="宋体" w:cs="宋体"/>
                <w:color w:val="000000" w:themeColor="text1"/>
                <w:sz w:val="20"/>
                <w:szCs w:val="20"/>
              </w:rPr>
            </w:pPr>
            <w:r>
              <w:rPr>
                <w:rFonts w:ascii="宋体" w:hAnsi="宋体" w:eastAsia="宋体" w:cs="宋体"/>
                <w:color w:val="000000" w:themeColor="text1"/>
                <w:sz w:val="20"/>
                <w:szCs w:val="20"/>
              </w:rPr>
              <w:t>教研室代码</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20"/>
                <w:szCs w:val="20"/>
              </w:rPr>
            </w:pPr>
            <w:r>
              <w:rPr>
                <w:rFonts w:hint="eastAsia" w:ascii="宋体" w:hAnsi="宋体" w:eastAsia="宋体" w:cs="宋体"/>
                <w:color w:val="000000" w:themeColor="text1"/>
                <w:sz w:val="20"/>
                <w:szCs w:val="20"/>
              </w:rPr>
              <w:t>专业系</w:t>
            </w:r>
          </w:p>
        </w:tc>
        <w:tc>
          <w:tcPr>
            <w:tcW w:w="5073" w:type="dxa"/>
            <w:vAlign w:val="bottom"/>
          </w:tcPr>
          <w:p>
            <w:pPr>
              <w:spacing w:after="100" w:afterAutospacing="1" w:line="400" w:lineRule="exact"/>
              <w:jc w:val="center"/>
              <w:rPr>
                <w:rFonts w:ascii="宋体" w:hAnsi="宋体" w:eastAsia="宋体" w:cs="宋体"/>
                <w:color w:val="000000" w:themeColor="text1"/>
                <w:sz w:val="20"/>
                <w:szCs w:val="20"/>
              </w:rPr>
            </w:pPr>
            <w:r>
              <w:rPr>
                <w:rFonts w:hint="eastAsia" w:ascii="宋体" w:hAnsi="宋体" w:eastAsia="宋体" w:cs="宋体"/>
                <w:color w:val="000000" w:themeColor="text1"/>
                <w:sz w:val="20"/>
                <w:szCs w:val="20"/>
              </w:rPr>
              <w:t>对应的专业班级</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20"/>
                <w:szCs w:val="20"/>
              </w:rPr>
            </w:pPr>
            <w:r>
              <w:rPr>
                <w:rFonts w:hint="eastAsia" w:ascii="宋体" w:hAnsi="宋体" w:eastAsia="宋体" w:cs="宋体"/>
                <w:color w:val="000000" w:themeColor="text1"/>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0101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会计学系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会计学、会计学（职高）、会计学（注册会计师）、会计学(实验班)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0102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ACCA中心</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会计学（ACCA）</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0103</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财务管理系</w:t>
            </w:r>
          </w:p>
        </w:tc>
        <w:tc>
          <w:tcPr>
            <w:tcW w:w="5073" w:type="dxa"/>
            <w:vAlign w:val="bottom"/>
          </w:tcPr>
          <w:p>
            <w:pPr>
              <w:spacing w:after="100" w:afterAutospacing="1" w:line="400" w:lineRule="exact"/>
              <w:jc w:val="center"/>
              <w:rPr>
                <w:rFonts w:hint="eastAsia" w:ascii="宋体" w:hAnsi="宋体" w:eastAsia="宋体" w:cs="宋体"/>
                <w:color w:val="000000" w:themeColor="text1"/>
                <w:sz w:val="16"/>
                <w:szCs w:val="16"/>
                <w:lang w:eastAsia="zh-CN"/>
              </w:rPr>
            </w:pPr>
            <w:r>
              <w:rPr>
                <w:rFonts w:hint="eastAsia" w:ascii="宋体" w:hAnsi="宋体" w:eastAsia="宋体" w:cs="宋体"/>
                <w:color w:val="000000" w:themeColor="text1"/>
                <w:sz w:val="16"/>
                <w:szCs w:val="16"/>
              </w:rPr>
              <w:t>财务管理</w:t>
            </w:r>
            <w:r>
              <w:rPr>
                <w:rFonts w:hint="eastAsia" w:ascii="宋体" w:hAnsi="宋体" w:eastAsia="宋体" w:cs="宋体"/>
                <w:color w:val="000000" w:themeColor="text1"/>
                <w:sz w:val="16"/>
                <w:szCs w:val="16"/>
                <w:lang w:eastAsia="zh-CN"/>
              </w:rPr>
              <w:t>、财务管理（厚生班）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0104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会计实验中心</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0105</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审计学系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审计学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0201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财税系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财政学、财政学（</w:t>
            </w:r>
            <w:r>
              <w:rPr>
                <w:rFonts w:hint="eastAsia" w:ascii="宋体" w:hAnsi="宋体" w:eastAsia="宋体" w:cs="宋体"/>
                <w:color w:val="000000" w:themeColor="text1"/>
                <w:sz w:val="16"/>
                <w:szCs w:val="16"/>
                <w:lang w:eastAsia="zh-CN"/>
              </w:rPr>
              <w:t>厚生</w:t>
            </w:r>
            <w:r>
              <w:rPr>
                <w:rFonts w:hint="eastAsia" w:ascii="宋体" w:hAnsi="宋体" w:eastAsia="宋体" w:cs="宋体"/>
                <w:color w:val="000000" w:themeColor="text1"/>
                <w:sz w:val="16"/>
                <w:szCs w:val="16"/>
              </w:rPr>
              <w:t>班）、税收学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0203</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金融学系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金融学，金融学（金融科技）</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0204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投资学系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投资学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0205</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CFA&amp;FRM教学中心</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金融学（CFA&amp;FRM）</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0301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管理学教研室</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0302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市场营销系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市场营销</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0304</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物流管理系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物流管理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w:t>
            </w:r>
            <w:r>
              <w:rPr>
                <w:rFonts w:hint="eastAsia" w:ascii="Arial" w:hAnsi="Arial" w:eastAsia="宋体" w:cs="Arial"/>
                <w:color w:val="000000" w:themeColor="text1"/>
                <w:sz w:val="16"/>
                <w:szCs w:val="16"/>
              </w:rPr>
              <w:t>305</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人力资源管理系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人力资源与管理系</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0401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信息管理与信息系统系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信息管理与信息系统</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0402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电子商务系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电子商务</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0403</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计算机科学与技术系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计算机科学与技术</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0404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电子信息工程系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电子信息工程</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0405</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数据科学与大数据技术系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数据科学与大数据技术、数据科学与大数据技术（</w:t>
            </w:r>
            <w:r>
              <w:rPr>
                <w:rFonts w:hint="eastAsia" w:ascii="宋体" w:hAnsi="宋体" w:eastAsia="宋体" w:cs="宋体"/>
                <w:color w:val="000000" w:themeColor="text1"/>
                <w:sz w:val="16"/>
                <w:szCs w:val="16"/>
                <w:lang w:eastAsia="zh-CN"/>
              </w:rPr>
              <w:t>厚生</w:t>
            </w:r>
            <w:r>
              <w:rPr>
                <w:rFonts w:hint="eastAsia" w:ascii="宋体" w:hAnsi="宋体" w:eastAsia="宋体" w:cs="宋体"/>
                <w:color w:val="000000" w:themeColor="text1"/>
                <w:sz w:val="16"/>
                <w:szCs w:val="16"/>
              </w:rPr>
              <w:t>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0501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法学系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ascii="宋体" w:hAnsi="宋体" w:eastAsia="宋体" w:cs="宋体"/>
                <w:color w:val="000000" w:themeColor="text1"/>
                <w:sz w:val="16"/>
                <w:szCs w:val="16"/>
              </w:rPr>
              <w:t>法学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0502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行政管理系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行政管理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0504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劳动与社会保障系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劳动与社会保障</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0601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英语系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英语、商务英语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0602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大学英语一教学部</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0603</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大学英语二教学部</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0604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翻译系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翻译</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0605</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日语系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日语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0701</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工程管理系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工程管理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0702</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工程造价系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工程造价</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0703</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房地产系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房地产开发与管理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0704</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土地管理系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土地资源管理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0801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中文系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0802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网络</w:t>
            </w:r>
            <w:r>
              <w:rPr>
                <w:rFonts w:ascii="宋体" w:hAnsi="宋体" w:eastAsia="宋体" w:cs="宋体"/>
                <w:color w:val="000000" w:themeColor="text1"/>
                <w:sz w:val="16"/>
                <w:szCs w:val="16"/>
              </w:rPr>
              <w:t>与新媒体</w:t>
            </w:r>
            <w:r>
              <w:rPr>
                <w:rFonts w:hint="eastAsia" w:ascii="宋体" w:hAnsi="宋体" w:eastAsia="宋体" w:cs="宋体"/>
                <w:color w:val="000000" w:themeColor="text1"/>
                <w:sz w:val="16"/>
                <w:szCs w:val="16"/>
              </w:rPr>
              <w:t>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网络与新媒体</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080</w:t>
            </w:r>
            <w:r>
              <w:rPr>
                <w:rFonts w:hint="eastAsia" w:ascii="Arial" w:hAnsi="Arial" w:eastAsia="宋体" w:cs="Arial"/>
                <w:color w:val="000000" w:themeColor="text1"/>
                <w:sz w:val="16"/>
                <w:szCs w:val="16"/>
              </w:rPr>
              <w:t>3</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艺术教育中心</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0804</w:t>
            </w:r>
          </w:p>
        </w:tc>
        <w:tc>
          <w:tcPr>
            <w:tcW w:w="23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文化产业管理系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文化产业管理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0805</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旅游管理系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旅游管理</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0901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德育系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0902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马克思主义理论系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0903</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形势与政策教研室</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1001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高等数学教学部</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1002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统计学系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ascii="宋体" w:hAnsi="宋体" w:eastAsia="宋体" w:cs="宋体"/>
                <w:color w:val="000000" w:themeColor="text1"/>
                <w:sz w:val="16"/>
                <w:szCs w:val="16"/>
              </w:rPr>
              <w:t>1003</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金融数学系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金融数学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1101</w:t>
            </w:r>
          </w:p>
        </w:tc>
        <w:tc>
          <w:tcPr>
            <w:tcW w:w="2394"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球类教研室</w:t>
            </w:r>
          </w:p>
        </w:tc>
        <w:tc>
          <w:tcPr>
            <w:tcW w:w="5073" w:type="dxa"/>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1102</w:t>
            </w:r>
          </w:p>
        </w:tc>
        <w:tc>
          <w:tcPr>
            <w:tcW w:w="2394"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运动竞赛与群体工作教研室</w:t>
            </w:r>
          </w:p>
        </w:tc>
        <w:tc>
          <w:tcPr>
            <w:tcW w:w="5073" w:type="dxa"/>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1103</w:t>
            </w:r>
          </w:p>
        </w:tc>
        <w:tc>
          <w:tcPr>
            <w:tcW w:w="2394"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难美教研室</w:t>
            </w:r>
          </w:p>
        </w:tc>
        <w:tc>
          <w:tcPr>
            <w:tcW w:w="5073" w:type="dxa"/>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1104</w:t>
            </w:r>
          </w:p>
        </w:tc>
        <w:tc>
          <w:tcPr>
            <w:tcW w:w="2394"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民族传统体育教研室</w:t>
            </w:r>
          </w:p>
        </w:tc>
        <w:tc>
          <w:tcPr>
            <w:tcW w:w="5073" w:type="dxa"/>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1105</w:t>
            </w:r>
          </w:p>
        </w:tc>
        <w:tc>
          <w:tcPr>
            <w:tcW w:w="2394" w:type="dxa"/>
            <w:shd w:val="clear" w:color="auto" w:fill="auto"/>
            <w:noWrap/>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休闲体育系</w:t>
            </w:r>
          </w:p>
        </w:tc>
        <w:tc>
          <w:tcPr>
            <w:tcW w:w="5073" w:type="dxa"/>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休闲体育系</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1201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大学生心理健康教育中心</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1202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军事理论</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1304</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大学生就业与招生指导教研室</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ascii="Arial" w:hAnsi="Arial" w:eastAsia="宋体" w:cs="Arial"/>
                <w:color w:val="000000" w:themeColor="text1"/>
                <w:sz w:val="16"/>
                <w:szCs w:val="16"/>
              </w:rPr>
              <w:t>1401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国际教育系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会计</w:t>
            </w:r>
            <w:r>
              <w:rPr>
                <w:rFonts w:ascii="宋体" w:hAnsi="宋体" w:eastAsia="宋体" w:cs="宋体"/>
                <w:color w:val="000000" w:themeColor="text1"/>
                <w:sz w:val="16"/>
                <w:szCs w:val="16"/>
              </w:rPr>
              <w:t>学（国）</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1501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经济学系</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商务经济学</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1502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国际经济与贸易系</w:t>
            </w:r>
          </w:p>
        </w:tc>
        <w:tc>
          <w:tcPr>
            <w:tcW w:w="5073" w:type="dxa"/>
            <w:vAlign w:val="bottom"/>
          </w:tcPr>
          <w:p>
            <w:pPr>
              <w:spacing w:after="100" w:afterAutospacing="1" w:line="400" w:lineRule="exact"/>
              <w:jc w:val="center"/>
              <w:rPr>
                <w:rFonts w:hint="eastAsia" w:ascii="宋体" w:hAnsi="宋体" w:eastAsia="宋体" w:cs="宋体"/>
                <w:color w:val="000000" w:themeColor="text1"/>
                <w:sz w:val="16"/>
                <w:szCs w:val="16"/>
                <w:lang w:eastAsia="zh-CN"/>
              </w:rPr>
            </w:pPr>
            <w:r>
              <w:rPr>
                <w:rFonts w:hint="eastAsia" w:ascii="宋体" w:hAnsi="宋体" w:eastAsia="宋体" w:cs="宋体"/>
                <w:color w:val="000000" w:themeColor="text1"/>
                <w:sz w:val="16"/>
                <w:szCs w:val="16"/>
              </w:rPr>
              <w:t>国际经济与贸易</w:t>
            </w:r>
            <w:r>
              <w:rPr>
                <w:rFonts w:hint="eastAsia" w:ascii="宋体" w:hAnsi="宋体" w:eastAsia="宋体" w:cs="宋体"/>
                <w:color w:val="000000" w:themeColor="text1"/>
                <w:sz w:val="16"/>
                <w:szCs w:val="16"/>
                <w:lang w:eastAsia="zh-CN"/>
              </w:rPr>
              <w:t>、国际经济与贸易（厚生班）</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1502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国际商务</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国际商务（由于原来国际商务和国际贸易均用1502的代码，所以国际商务的学生也不要选1502的课程）</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1601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文献检索课程组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《文献检索》</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1701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大学生安全知识教育课程组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《大学生安全知识教育（一）》，《大学生安全知识教育（二）》</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第3,4学期开设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1801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财经综合虚拟仿真实验课组程组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1901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创业基础课程组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2001</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校团委（双百工程课程组）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《双百工程》</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2002</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校团委（正德讲堂课程组）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《正德讲堂》</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22" w:type="dxa"/>
            <w:shd w:val="clear" w:color="auto" w:fill="auto"/>
            <w:noWrap/>
            <w:vAlign w:val="bottom"/>
          </w:tcPr>
          <w:p>
            <w:pPr>
              <w:spacing w:after="100" w:afterAutospacing="1" w:line="400" w:lineRule="exact"/>
              <w:jc w:val="center"/>
              <w:rPr>
                <w:rFonts w:ascii="Arial" w:hAnsi="Arial" w:eastAsia="宋体" w:cs="Arial"/>
                <w:color w:val="000000" w:themeColor="text1"/>
                <w:sz w:val="16"/>
                <w:szCs w:val="16"/>
              </w:rPr>
            </w:pPr>
            <w:r>
              <w:rPr>
                <w:rFonts w:hint="eastAsia" w:ascii="Arial" w:hAnsi="Arial" w:eastAsia="宋体" w:cs="Arial"/>
                <w:color w:val="000000" w:themeColor="text1"/>
                <w:sz w:val="16"/>
                <w:szCs w:val="16"/>
              </w:rPr>
              <w:t>2003</w:t>
            </w:r>
          </w:p>
        </w:tc>
        <w:tc>
          <w:tcPr>
            <w:tcW w:w="2394" w:type="dxa"/>
            <w:shd w:val="clear" w:color="auto" w:fill="auto"/>
            <w:noWrap/>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校团委(厚生讲堂课程组）</w:t>
            </w:r>
          </w:p>
        </w:tc>
        <w:tc>
          <w:tcPr>
            <w:tcW w:w="5073" w:type="dxa"/>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《厚生讲堂》</w:t>
            </w:r>
          </w:p>
        </w:tc>
        <w:tc>
          <w:tcPr>
            <w:tcW w:w="1594" w:type="dxa"/>
            <w:shd w:val="clear" w:color="auto" w:fill="auto"/>
            <w:vAlign w:val="bottom"/>
          </w:tcPr>
          <w:p>
            <w:pPr>
              <w:spacing w:after="100" w:afterAutospacing="1" w:line="400" w:lineRule="exact"/>
              <w:jc w:val="center"/>
              <w:rPr>
                <w:rFonts w:ascii="宋体" w:hAnsi="宋体" w:eastAsia="宋体" w:cs="宋体"/>
                <w:color w:val="000000" w:themeColor="text1"/>
                <w:sz w:val="16"/>
                <w:szCs w:val="16"/>
              </w:rPr>
            </w:pPr>
            <w:r>
              <w:rPr>
                <w:rFonts w:hint="eastAsia" w:ascii="宋体" w:hAnsi="宋体" w:eastAsia="宋体" w:cs="宋体"/>
                <w:color w:val="000000" w:themeColor="text1"/>
                <w:sz w:val="16"/>
                <w:szCs w:val="16"/>
              </w:rPr>
              <w:t>无该专业学生</w:t>
            </w:r>
          </w:p>
        </w:tc>
      </w:tr>
    </w:tbl>
    <w:p>
      <w:pPr>
        <w:spacing w:after="0" w:line="360" w:lineRule="exact"/>
        <w:rPr>
          <w:color w:val="000000" w:themeColor="text1"/>
        </w:rPr>
      </w:pPr>
    </w:p>
    <w:p>
      <w:pPr>
        <w:spacing w:after="0" w:line="360" w:lineRule="exact"/>
        <w:ind w:firstLine="6270" w:firstLineChars="2850"/>
      </w:pPr>
    </w:p>
    <w:p>
      <w:pPr>
        <w:tabs>
          <w:tab w:val="left" w:pos="284"/>
        </w:tabs>
        <w:spacing w:after="0" w:line="360" w:lineRule="exact"/>
        <w:rPr>
          <w:sz w:val="24"/>
          <w:szCs w:val="24"/>
        </w:rPr>
      </w:pPr>
      <w:r>
        <w:rPr>
          <w:rFonts w:hint="eastAsia" w:ascii="仿宋_GB2312" w:eastAsia="仿宋_GB2312"/>
          <w:sz w:val="24"/>
          <w:szCs w:val="24"/>
        </w:rPr>
        <w:t>例如：文化产业系开设的《时尚品牌的设计与传播》的通识教育选课课代码为</w:t>
      </w:r>
      <w:r>
        <w:rPr>
          <w:rFonts w:hint="eastAsia" w:ascii="仿宋_GB2312" w:eastAsia="仿宋_GB2312"/>
          <w:sz w:val="24"/>
          <w:szCs w:val="24"/>
          <w:u w:val="single"/>
        </w:rPr>
        <w:t>0804</w:t>
      </w:r>
      <w:r>
        <w:rPr>
          <w:rFonts w:hint="eastAsia" w:ascii="仿宋_GB2312" w:eastAsia="仿宋_GB2312"/>
          <w:sz w:val="24"/>
          <w:szCs w:val="24"/>
        </w:rPr>
        <w:t>0102，则2019级文化产业管理专业班的学生就不能选此门课程作为通识教育选修课。</w:t>
      </w:r>
    </w:p>
    <w:p>
      <w:pPr>
        <w:spacing w:after="0" w:line="360" w:lineRule="exact"/>
        <w:ind w:firstLine="6270" w:firstLineChars="2850"/>
        <w:rPr>
          <w:color w:val="000000" w:themeColor="text1"/>
        </w:rPr>
      </w:pPr>
    </w:p>
    <w:p>
      <w:pPr>
        <w:spacing w:after="0" w:line="360" w:lineRule="exact"/>
        <w:ind w:firstLine="6270" w:firstLineChars="2850"/>
        <w:rPr>
          <w:color w:val="000000" w:themeColor="text1"/>
        </w:rPr>
      </w:pPr>
    </w:p>
    <w:p>
      <w:pPr>
        <w:spacing w:after="0" w:line="360" w:lineRule="exact"/>
        <w:ind w:firstLine="6270" w:firstLineChars="2850"/>
        <w:rPr>
          <w:color w:val="000000" w:themeColor="text1"/>
        </w:rPr>
      </w:pPr>
      <w:r>
        <w:rPr>
          <w:rFonts w:hint="eastAsia"/>
          <w:color w:val="000000" w:themeColor="text1"/>
        </w:rPr>
        <w:t>教务处</w:t>
      </w:r>
    </w:p>
    <w:p>
      <w:pPr>
        <w:spacing w:after="0" w:line="360" w:lineRule="exact"/>
        <w:ind w:firstLine="5830" w:firstLineChars="2650"/>
        <w:rPr>
          <w:color w:val="000000" w:themeColor="text1"/>
        </w:rPr>
      </w:pPr>
      <w:r>
        <w:rPr>
          <w:rFonts w:hint="eastAsia"/>
          <w:color w:val="000000" w:themeColor="text1"/>
        </w:rPr>
        <w:t>202</w:t>
      </w:r>
      <w:r>
        <w:rPr>
          <w:rFonts w:hint="eastAsia"/>
          <w:color w:val="000000" w:themeColor="text1"/>
          <w:lang w:val="en-US" w:eastAsia="zh-CN"/>
        </w:rPr>
        <w:t>2</w:t>
      </w:r>
      <w:r>
        <w:rPr>
          <w:rFonts w:hint="eastAsia"/>
          <w:color w:val="000000" w:themeColor="text1"/>
        </w:rPr>
        <w:t>年</w:t>
      </w:r>
      <w:r>
        <w:rPr>
          <w:rFonts w:hint="eastAsia"/>
          <w:color w:val="000000" w:themeColor="text1"/>
          <w:lang w:val="en-US" w:eastAsia="zh-CN"/>
        </w:rPr>
        <w:t>5</w:t>
      </w:r>
      <w:r>
        <w:rPr>
          <w:rFonts w:hint="eastAsia"/>
          <w:color w:val="000000" w:themeColor="text1"/>
        </w:rPr>
        <w:t>月</w:t>
      </w:r>
      <w:r>
        <w:rPr>
          <w:rFonts w:hint="eastAsia"/>
          <w:color w:val="000000" w:themeColor="text1"/>
          <w:lang w:val="en-US" w:eastAsia="zh-CN"/>
        </w:rPr>
        <w:t>5</w:t>
      </w:r>
      <w:bookmarkStart w:id="0" w:name="_GoBack"/>
      <w:bookmarkEnd w:id="0"/>
      <w:r>
        <w:rPr>
          <w:rFonts w:hint="eastAsia"/>
          <w:color w:val="000000" w:themeColor="text1"/>
        </w:rPr>
        <w:t>日</w:t>
      </w:r>
    </w:p>
    <w:p>
      <w:pPr>
        <w:spacing w:after="100" w:afterAutospacing="1" w:line="400" w:lineRule="exact"/>
        <w:rPr>
          <w:color w:val="000000" w:themeColor="text1"/>
        </w:rPr>
      </w:pPr>
    </w:p>
    <w:sectPr>
      <w:pgSz w:w="11907" w:h="16839"/>
      <w:pgMar w:top="851" w:right="1800" w:bottom="56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mJkM2JlYTZiOTY1OTEyMzIxMTQ1Nzg3YmQ4YmNiYmQifQ=="/>
  </w:docVars>
  <w:rsids>
    <w:rsidRoot w:val="00D31D50"/>
    <w:rsid w:val="000012E0"/>
    <w:rsid w:val="000069AB"/>
    <w:rsid w:val="00032C28"/>
    <w:rsid w:val="000554C7"/>
    <w:rsid w:val="00074E80"/>
    <w:rsid w:val="0009446E"/>
    <w:rsid w:val="000C3588"/>
    <w:rsid w:val="000C57CB"/>
    <w:rsid w:val="000E1EC1"/>
    <w:rsid w:val="00126ACB"/>
    <w:rsid w:val="001379C3"/>
    <w:rsid w:val="001D3E36"/>
    <w:rsid w:val="00232FB5"/>
    <w:rsid w:val="0025268A"/>
    <w:rsid w:val="00274992"/>
    <w:rsid w:val="0029671F"/>
    <w:rsid w:val="002B12F6"/>
    <w:rsid w:val="002B75B4"/>
    <w:rsid w:val="00323B43"/>
    <w:rsid w:val="0035378B"/>
    <w:rsid w:val="003C0230"/>
    <w:rsid w:val="003D37D8"/>
    <w:rsid w:val="003D3E9B"/>
    <w:rsid w:val="003D51A1"/>
    <w:rsid w:val="003E0A23"/>
    <w:rsid w:val="003F5C52"/>
    <w:rsid w:val="00426133"/>
    <w:rsid w:val="004358AB"/>
    <w:rsid w:val="00451300"/>
    <w:rsid w:val="004521A4"/>
    <w:rsid w:val="005026B9"/>
    <w:rsid w:val="00531517"/>
    <w:rsid w:val="0057143E"/>
    <w:rsid w:val="005C36F5"/>
    <w:rsid w:val="005D58BD"/>
    <w:rsid w:val="005E50B5"/>
    <w:rsid w:val="0062060E"/>
    <w:rsid w:val="00625818"/>
    <w:rsid w:val="00627017"/>
    <w:rsid w:val="006369CA"/>
    <w:rsid w:val="00642105"/>
    <w:rsid w:val="00655EFB"/>
    <w:rsid w:val="006D1DC8"/>
    <w:rsid w:val="006D66B5"/>
    <w:rsid w:val="007172B4"/>
    <w:rsid w:val="00735013"/>
    <w:rsid w:val="0076589F"/>
    <w:rsid w:val="00766B8A"/>
    <w:rsid w:val="00782782"/>
    <w:rsid w:val="00790845"/>
    <w:rsid w:val="007C5065"/>
    <w:rsid w:val="007D2DDA"/>
    <w:rsid w:val="007E4ED2"/>
    <w:rsid w:val="00820643"/>
    <w:rsid w:val="00825364"/>
    <w:rsid w:val="00850685"/>
    <w:rsid w:val="00857705"/>
    <w:rsid w:val="00867507"/>
    <w:rsid w:val="00882A3D"/>
    <w:rsid w:val="008B7726"/>
    <w:rsid w:val="008F771F"/>
    <w:rsid w:val="009007D9"/>
    <w:rsid w:val="00900ACA"/>
    <w:rsid w:val="00965CFF"/>
    <w:rsid w:val="009676ED"/>
    <w:rsid w:val="009B2FF8"/>
    <w:rsid w:val="009C7A32"/>
    <w:rsid w:val="009D7699"/>
    <w:rsid w:val="009E3BCC"/>
    <w:rsid w:val="00A04495"/>
    <w:rsid w:val="00A4133B"/>
    <w:rsid w:val="00A5068A"/>
    <w:rsid w:val="00A50FB1"/>
    <w:rsid w:val="00A6084E"/>
    <w:rsid w:val="00AC5090"/>
    <w:rsid w:val="00AE2B4B"/>
    <w:rsid w:val="00AF3EE4"/>
    <w:rsid w:val="00B117E9"/>
    <w:rsid w:val="00B21EDE"/>
    <w:rsid w:val="00B25706"/>
    <w:rsid w:val="00B320CF"/>
    <w:rsid w:val="00B35A9A"/>
    <w:rsid w:val="00B73D98"/>
    <w:rsid w:val="00B940AB"/>
    <w:rsid w:val="00C70E97"/>
    <w:rsid w:val="00D31D50"/>
    <w:rsid w:val="00D835D9"/>
    <w:rsid w:val="00D86914"/>
    <w:rsid w:val="00DB4633"/>
    <w:rsid w:val="00DB537B"/>
    <w:rsid w:val="00DD7718"/>
    <w:rsid w:val="00E02C35"/>
    <w:rsid w:val="00E21304"/>
    <w:rsid w:val="00E21B4C"/>
    <w:rsid w:val="00E269CC"/>
    <w:rsid w:val="00E57DC2"/>
    <w:rsid w:val="00E64B64"/>
    <w:rsid w:val="00E70F66"/>
    <w:rsid w:val="00E8765F"/>
    <w:rsid w:val="00E974D1"/>
    <w:rsid w:val="00EB1D6C"/>
    <w:rsid w:val="00ED0778"/>
    <w:rsid w:val="00EE7B22"/>
    <w:rsid w:val="00F36400"/>
    <w:rsid w:val="00F43DEE"/>
    <w:rsid w:val="00FA0A47"/>
    <w:rsid w:val="00FA2631"/>
    <w:rsid w:val="1C6C742A"/>
    <w:rsid w:val="5D9E3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footer"/>
    <w:basedOn w:val="1"/>
    <w:link w:val="8"/>
    <w:semiHidden/>
    <w:unhideWhenUsed/>
    <w:qFormat/>
    <w:uiPriority w:val="99"/>
    <w:pPr>
      <w:tabs>
        <w:tab w:val="center" w:pos="4153"/>
        <w:tab w:val="right" w:pos="8306"/>
      </w:tabs>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qFormat/>
    <w:uiPriority w:val="99"/>
    <w:rPr>
      <w:rFonts w:ascii="Tahoma" w:hAnsi="Tahoma"/>
      <w:sz w:val="18"/>
      <w:szCs w:val="18"/>
    </w:rPr>
  </w:style>
  <w:style w:type="character" w:customStyle="1" w:styleId="8">
    <w:name w:val="页脚 Char"/>
    <w:basedOn w:val="6"/>
    <w:link w:val="3"/>
    <w:semiHidden/>
    <w:qFormat/>
    <w:uiPriority w:val="99"/>
    <w:rPr>
      <w:rFonts w:ascii="Tahoma" w:hAnsi="Tahoma"/>
      <w:sz w:val="18"/>
      <w:szCs w:val="18"/>
    </w:rPr>
  </w:style>
  <w:style w:type="character" w:customStyle="1" w:styleId="9">
    <w:name w:val="日期 Char"/>
    <w:basedOn w:val="6"/>
    <w:link w:val="2"/>
    <w:semiHidden/>
    <w:qFormat/>
    <w:uiPriority w:val="99"/>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15D688-BA3A-447B-9B23-4D21927C317C}">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1081</Words>
  <Characters>1302</Characters>
  <Lines>11</Lines>
  <Paragraphs>3</Paragraphs>
  <TotalTime>139</TotalTime>
  <ScaleCrop>false</ScaleCrop>
  <LinksUpToDate>false</LinksUpToDate>
  <CharactersWithSpaces>1302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2019-06-25T09:17:00Z</dcterms:created>
  <dc:creator>Administrator</dc:creator>
  <cp:lastModifiedBy>Administrator</cp:lastModifiedBy>
  <cp:lastPrinted>2019-11-01T02:42:00Z</cp:lastPrinted>
  <dcterms:modified xsi:type="dcterms:W3CDTF">2022-05-05T08:28:04Z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C880965DB7ED4BD4B964ACA13E8A4A9E</vt:lpwstr>
  </property>
</Properties>
</file>