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exact"/>
        <w:rPr>
          <w:rFonts w:ascii="仿宋_GB2312" w:eastAsia="仿宋_GB2312"/>
          <w:b/>
          <w:sz w:val="18"/>
          <w:szCs w:val="18"/>
        </w:rPr>
      </w:pPr>
      <w:r>
        <w:rPr>
          <w:rFonts w:hint="eastAsia" w:ascii="仿宋_GB2312" w:eastAsia="仿宋_GB2312"/>
          <w:b/>
          <w:sz w:val="18"/>
          <w:szCs w:val="18"/>
          <w:lang w:eastAsia="zh-CN"/>
        </w:rPr>
        <w:t>附件</w:t>
      </w:r>
      <w:r>
        <w:rPr>
          <w:rFonts w:hint="eastAsia" w:ascii="仿宋_GB2312" w:eastAsia="仿宋_GB2312"/>
          <w:b/>
          <w:sz w:val="18"/>
          <w:szCs w:val="18"/>
          <w:lang w:val="en-US" w:eastAsia="zh-CN"/>
        </w:rPr>
        <w:t>1</w:t>
      </w:r>
      <w:r>
        <w:rPr>
          <w:rFonts w:hint="eastAsia" w:ascii="仿宋_GB2312" w:eastAsia="仿宋_GB2312"/>
          <w:b/>
          <w:sz w:val="18"/>
          <w:szCs w:val="18"/>
        </w:rPr>
        <w:t>:</w:t>
      </w:r>
    </w:p>
    <w:p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  <w:sz w:val="18"/>
          <w:szCs w:val="18"/>
        </w:rPr>
        <w:t>2019级本科专业的专业选修课</w:t>
      </w:r>
    </w:p>
    <w:p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  <w:b/>
          <w:sz w:val="21"/>
          <w:szCs w:val="21"/>
        </w:rPr>
        <w:t>202</w:t>
      </w:r>
      <w:r>
        <w:rPr>
          <w:rFonts w:hint="eastAsia" w:ascii="黑体" w:eastAsia="黑体"/>
          <w:b/>
          <w:sz w:val="21"/>
          <w:szCs w:val="21"/>
          <w:lang w:val="en-US" w:eastAsia="zh-CN"/>
        </w:rPr>
        <w:t>2</w:t>
      </w:r>
      <w:r>
        <w:rPr>
          <w:rFonts w:hint="eastAsia" w:ascii="黑体" w:eastAsia="黑体"/>
          <w:b/>
          <w:sz w:val="21"/>
          <w:szCs w:val="21"/>
        </w:rPr>
        <w:t>-202</w:t>
      </w:r>
      <w:r>
        <w:rPr>
          <w:rFonts w:hint="eastAsia" w:ascii="黑体" w:eastAsia="黑体"/>
          <w:b/>
          <w:sz w:val="21"/>
          <w:szCs w:val="21"/>
          <w:lang w:val="en-US" w:eastAsia="zh-CN"/>
        </w:rPr>
        <w:t>3</w:t>
      </w:r>
      <w:r>
        <w:rPr>
          <w:rFonts w:hint="eastAsia" w:ascii="黑体" w:eastAsia="黑体"/>
          <w:b/>
          <w:sz w:val="21"/>
          <w:szCs w:val="21"/>
        </w:rPr>
        <w:t>-</w:t>
      </w:r>
      <w:r>
        <w:rPr>
          <w:rFonts w:hint="eastAsia" w:ascii="黑体" w:eastAsia="黑体"/>
          <w:b/>
          <w:sz w:val="21"/>
          <w:szCs w:val="21"/>
          <w:lang w:val="en-US" w:eastAsia="zh-CN"/>
        </w:rPr>
        <w:t>1</w:t>
      </w:r>
      <w:r>
        <w:rPr>
          <w:rFonts w:hint="eastAsia" w:ascii="黑体" w:eastAsia="黑体"/>
          <w:sz w:val="18"/>
          <w:szCs w:val="18"/>
        </w:rPr>
        <w:t>学期选修课程一览表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8360"/>
        <w:gridCol w:w="1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vMerge w:val="restart"/>
            <w:tcBorders>
              <w:top w:val="single" w:color="auto" w:sz="12" w:space="0"/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专业</w:t>
            </w:r>
          </w:p>
        </w:tc>
        <w:tc>
          <w:tcPr>
            <w:tcW w:w="4285" w:type="pct"/>
            <w:gridSpan w:val="2"/>
            <w:tcBorders>
              <w:top w:val="single" w:color="auto" w:sz="12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14" w:type="pct"/>
            <w:vMerge w:val="continue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课程名称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192" w:lineRule="auto"/>
              <w:jc w:val="center"/>
              <w:textAlignment w:val="auto"/>
              <w:rPr>
                <w:rFonts w:hint="eastAsia" w:cs="Tahom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ahom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学分要求</w:t>
            </w:r>
            <w:r>
              <w:rPr>
                <w:rFonts w:hint="eastAsia" w:cs="Tahom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=</w:t>
            </w:r>
            <w:r>
              <w:rPr>
                <w:rFonts w:hint="eastAsia" w:cs="Tahoma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专业选修课</w:t>
            </w:r>
            <w:r>
              <w:rPr>
                <w:rFonts w:hint="eastAsia" w:cs="Tahom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+暑期课程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财务管理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国际结算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内部控制学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python财经大数据分析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会计学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python财经大数据分析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公司战略与风险管理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内部控制学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外贸会计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会计学（职高）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供应链管理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会计制度设计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财务会计案例分析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经济效益审计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行业会计比较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内部控制学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会计学（ACCA）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高级财务管理（AFM）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(限选)4.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内部审计学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资产评估学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内部控制学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公司战略与风险管理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外贸会计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高级审计与认证业务（AAA）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(限选)4.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2019会计学（实验班）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both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公司战略与风险管理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外贸会计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税务会计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python财经大数据分析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审计学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资本经营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内部控制学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审计案例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会计制度设计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内部审计学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财政学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财税政策专题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税务稽查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财务报表分析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中国财税史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国家公务员制度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财政学（实验班）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国家公务员制度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财税政策专题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财务报表分析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中国财税史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金融学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企业战略管理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金融理论前沿专题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投资银行学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新媒体营销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行为金融学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金融学（CFA）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金融学（金融科技）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行为金融学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项目管理学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市场营销学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信托与租赁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金融理论前沿专题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税收学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国家公务员制度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财务报表分析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社会保障学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财税政策专题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投资学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跨国兼并与收购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建设项目投资与融资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期货投资学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互联网思维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外汇期货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创业与风险投资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企业战略管理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结构化产品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国债期货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市场营销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物流管理系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国际市场营销学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人力资源管理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企业文化理论与实务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中国特色人力资源管理导论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人力资源管理专题讲座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物流管理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物流管理系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物流管理案例与实务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国际商务谈判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物流调查与预测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商务经济学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供应链与物流管理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国际经济与贸易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国际商务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人力资源管理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供应链与物流管理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电子信息工程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Web程序设计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自动检测技术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数据可视化与分析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人工智能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银行计算机系统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金融电子设备应用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DSP系统应用技术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数据科学与大数据技术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移动互联网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信息安全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网络工程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数据科学与大数据技术（实验班）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网络工程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信息管理与信息系统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软件工程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电子商务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IT技术前沿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电子商务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商务智能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网络媒体与视觉传达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大数据分析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数据化运营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计算机科学与技术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Android程序设计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移动互联网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房地产开发与管理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城市生态学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商业地产运营管理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BIM软件应用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工程管理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建筑企业管理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绿色建筑与可持续发展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房地产经济学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BIM软件应用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装配式建筑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工程造价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BIM软件应用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建筑施工组织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房地产经济学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宏观经济学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装配式建筑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土地资源管理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土地整治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城市生态学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商业地产运营管理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招投标与合同管理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翻译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法律翻译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同声传译入门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公共外交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翻译批评与赏析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日语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日本文学概论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日语经贸谈判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日本企业文化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中日跨文化交际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经贸文章选读(日语)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日语语言学概论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商务英语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经贸英语报刊选读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国际税收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国际贸易案例研究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国际结算（双语）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语言学导论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英语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商务翻译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古希腊罗马神话故事赏析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英语报刊选读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金融英语翻译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法学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法律文书写作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保险法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会计假帐法律治理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审计案例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司法会计调查与鉴定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劳动与社会保障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国家公务员制度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管理沟通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申论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社区治理与服务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行政职业能力专题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行政管理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申论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公共危机管理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行政职业能力专题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领导科学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管理沟通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会计学（</w:t>
            </w:r>
            <w:r>
              <w:rPr>
                <w:rFonts w:hint="eastAsia" w:ascii="微软雅黑" w:hAnsi="微软雅黑" w:cs="微软雅黑"/>
                <w:sz w:val="14"/>
                <w:szCs w:val="14"/>
                <w:lang w:eastAsia="zh-CN"/>
              </w:rPr>
              <w:t>国</w:t>
            </w: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）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资本经营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政府会计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文化产业管理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广告策划与品牌管理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媒体产业经营与管理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大数据挖掘与处理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文化商务英语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消费者心理学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艺术批评史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旅游管理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旅游摄影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世界旅游地理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湖南旅游资源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旅游专业英语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体育旅游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旅游新业态专题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旅游产品创意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网络与新媒体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大数据可视化分析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跨文化传播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网络传播法律与法规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国际财经新闻知识与报道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互联网政务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动漫与数码特效B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金融数学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固定收益证券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实变函数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金融衍生工具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财务报表分析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投资银行学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金融史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信用管理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信托与租赁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运筹学（金数）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14" w:type="pct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</w:rPr>
              <w:t>休闲体育</w:t>
            </w:r>
          </w:p>
        </w:tc>
        <w:tc>
          <w:tcPr>
            <w:tcW w:w="3686" w:type="pct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体育场馆经营与管理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体育旅游项目规划与管理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</w:p>
        </w:tc>
        <w:tc>
          <w:tcPr>
            <w:tcW w:w="599" w:type="pct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26</w:t>
            </w:r>
          </w:p>
        </w:tc>
      </w:tr>
    </w:tbl>
    <w:p>
      <w:pPr>
        <w:spacing w:after="0" w:line="240" w:lineRule="exact"/>
        <w:jc w:val="left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注：（1）课程名称后的数字表示该课程的学分；</w:t>
      </w:r>
    </w:p>
    <w:p>
      <w:pPr>
        <w:spacing w:after="0" w:line="240" w:lineRule="exact"/>
        <w:ind w:firstLine="360" w:firstLineChars="200"/>
        <w:jc w:val="left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（2）“专业选修课”的选课“学分要求”指整个大学阶段专业选修课</w:t>
      </w:r>
      <w:r>
        <w:rPr>
          <w:rFonts w:hint="eastAsia" w:ascii="宋体" w:hAnsi="宋体" w:cs="宋体"/>
          <w:b/>
          <w:sz w:val="18"/>
          <w:szCs w:val="18"/>
          <w:lang w:eastAsia="zh-CN"/>
        </w:rPr>
        <w:t>与暑期课程总学分</w:t>
      </w:r>
      <w:r>
        <w:rPr>
          <w:rFonts w:hint="eastAsia" w:ascii="宋体" w:hAnsi="宋体" w:cs="宋体"/>
          <w:b/>
          <w:sz w:val="18"/>
          <w:szCs w:val="18"/>
        </w:rPr>
        <w:t>的学分要求，对每学期具体选多</w:t>
      </w:r>
    </w:p>
    <w:p>
      <w:pPr>
        <w:spacing w:after="0" w:line="240" w:lineRule="exact"/>
        <w:ind w:firstLine="360" w:firstLineChars="200"/>
        <w:jc w:val="left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少学分不作严格要求。</w:t>
      </w:r>
    </w:p>
    <w:p>
      <w:pPr>
        <w:spacing w:line="240" w:lineRule="exact"/>
        <w:jc w:val="center"/>
        <w:rPr>
          <w:rFonts w:hint="eastAsia" w:ascii="宋体" w:hAnsi="宋体" w:cs="宋体"/>
          <w:b/>
          <w:sz w:val="18"/>
          <w:szCs w:val="18"/>
        </w:rPr>
      </w:pPr>
    </w:p>
    <w:p>
      <w:pPr>
        <w:spacing w:line="240" w:lineRule="exact"/>
        <w:jc w:val="center"/>
        <w:rPr>
          <w:rFonts w:hint="eastAsia" w:ascii="宋体" w:hAnsi="宋体" w:cs="宋体"/>
          <w:b/>
          <w:sz w:val="18"/>
          <w:szCs w:val="18"/>
        </w:rPr>
      </w:pPr>
    </w:p>
    <w:p>
      <w:pPr>
        <w:spacing w:line="240" w:lineRule="exact"/>
        <w:jc w:val="both"/>
        <w:rPr>
          <w:rFonts w:hint="eastAsia" w:ascii="宋体" w:hAnsi="宋体" w:eastAsia="微软雅黑" w:cs="宋体"/>
          <w:b/>
          <w:sz w:val="18"/>
          <w:szCs w:val="18"/>
          <w:lang w:eastAsia="zh-CN"/>
        </w:rPr>
      </w:pPr>
      <w:r>
        <w:rPr>
          <w:rFonts w:hint="eastAsia" w:ascii="宋体" w:hAnsi="宋体" w:cs="宋体"/>
          <w:b/>
          <w:sz w:val="18"/>
          <w:szCs w:val="18"/>
        </w:rPr>
        <w:t>附件</w:t>
      </w:r>
      <w:r>
        <w:rPr>
          <w:rFonts w:hint="eastAsia" w:ascii="宋体" w:hAnsi="宋体" w:cs="宋体"/>
          <w:b/>
          <w:sz w:val="18"/>
          <w:szCs w:val="18"/>
          <w:lang w:val="en-US" w:eastAsia="zh-CN"/>
        </w:rPr>
        <w:t>2</w:t>
      </w:r>
    </w:p>
    <w:p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  <w:sz w:val="18"/>
          <w:szCs w:val="18"/>
        </w:rPr>
        <w:t>2020级本科专业的专业选修课</w:t>
      </w:r>
    </w:p>
    <w:p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  <w:b/>
          <w:sz w:val="21"/>
          <w:szCs w:val="21"/>
        </w:rPr>
        <w:t>202</w:t>
      </w:r>
      <w:r>
        <w:rPr>
          <w:rFonts w:hint="eastAsia" w:ascii="黑体" w:eastAsia="黑体"/>
          <w:b/>
          <w:sz w:val="21"/>
          <w:szCs w:val="21"/>
          <w:lang w:val="en-US" w:eastAsia="zh-CN"/>
        </w:rPr>
        <w:t>2</w:t>
      </w:r>
      <w:r>
        <w:rPr>
          <w:rFonts w:hint="eastAsia" w:ascii="黑体" w:eastAsia="黑体"/>
          <w:b/>
          <w:sz w:val="21"/>
          <w:szCs w:val="21"/>
        </w:rPr>
        <w:t>-202</w:t>
      </w:r>
      <w:r>
        <w:rPr>
          <w:rFonts w:hint="eastAsia" w:ascii="黑体" w:eastAsia="黑体"/>
          <w:b/>
          <w:sz w:val="21"/>
          <w:szCs w:val="21"/>
          <w:lang w:val="en-US" w:eastAsia="zh-CN"/>
        </w:rPr>
        <w:t>3</w:t>
      </w:r>
      <w:r>
        <w:rPr>
          <w:rFonts w:hint="eastAsia" w:ascii="黑体" w:eastAsia="黑体"/>
          <w:b/>
          <w:sz w:val="21"/>
          <w:szCs w:val="21"/>
        </w:rPr>
        <w:t>-</w:t>
      </w:r>
      <w:r>
        <w:rPr>
          <w:rFonts w:hint="eastAsia" w:ascii="黑体" w:eastAsia="黑体"/>
          <w:b/>
          <w:sz w:val="21"/>
          <w:szCs w:val="21"/>
          <w:lang w:val="en-US" w:eastAsia="zh-CN"/>
        </w:rPr>
        <w:t>1</w:t>
      </w:r>
      <w:r>
        <w:rPr>
          <w:rFonts w:hint="eastAsia" w:ascii="黑体" w:eastAsia="黑体"/>
          <w:sz w:val="18"/>
          <w:szCs w:val="18"/>
        </w:rPr>
        <w:t>学期选修课程一览表</w:t>
      </w:r>
    </w:p>
    <w:tbl>
      <w:tblPr>
        <w:tblStyle w:val="6"/>
        <w:tblW w:w="107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7952"/>
        <w:gridCol w:w="1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vMerge w:val="restart"/>
            <w:tcBorders>
              <w:top w:val="single" w:color="auto" w:sz="12" w:space="0"/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专业</w:t>
            </w:r>
          </w:p>
        </w:tc>
        <w:tc>
          <w:tcPr>
            <w:tcW w:w="9147" w:type="dxa"/>
            <w:gridSpan w:val="2"/>
            <w:tcBorders>
              <w:top w:val="single" w:color="auto" w:sz="12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vMerge w:val="continue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课程名称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cs="Tahom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学分要求</w:t>
            </w:r>
            <w:r>
              <w:rPr>
                <w:rFonts w:hint="eastAsia" w:cs="Tahom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=</w:t>
            </w:r>
            <w:r>
              <w:rPr>
                <w:rFonts w:hint="eastAsia" w:cs="Tahoma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专业选修课</w:t>
            </w:r>
            <w:r>
              <w:rPr>
                <w:rFonts w:hint="eastAsia" w:cs="Tahom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+暑期课程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财务管理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个人理财学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国际财务管理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财务管理案例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税收策划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Excel在会计和财务中的应用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财务管理（厚生班）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个人理财学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国际贸易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国际财务管理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财务管理（数字财务）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国际财务管理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税收策划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会计学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资本经营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税务会计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国际贸易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会计学（职高）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Excel在会计和财务中的应用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税务会计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金融企业会计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会计学（ACCA）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资本经营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成本会计学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审计案例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财经大数据B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国际贸易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审计学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工程估价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人工智能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管理会计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税收策划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财政学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成本会计学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税务管理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公共政策学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审计学B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税收筹划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财政学（厚生班）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公共政策学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税务管理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税收筹划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税务稽查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成本会计学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金融学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智能金融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管理沟通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金融衍生工具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投资学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投资组合管理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互联网金融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</w:rPr>
              <w:t>区块链金融B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32.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金融学（CFA）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国际金融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中央银行与金融监管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互联网金融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商业银行业务与经营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创业与风险投资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金融衍生工具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证券投资基金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新媒体营销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人工智能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金融学（金融科技）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保险学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投资银行学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数据分析与挖掘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财经新闻报道与评论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金融衍生工具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中央银行与金融监管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税收学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审计学B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成本会计学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税务稽查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政府预算管理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外国税制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投资学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财务报表分析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证券投资基金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新媒体营销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金融市场学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量化投资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税收筹划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Python语言程序设计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市场营销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公共关系学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行业营销专题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新媒体营销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零售管理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品牌管理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中小企业营销管理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auto"/>
                <w:sz w:val="15"/>
                <w:szCs w:val="15"/>
                <w:highlight w:val="none"/>
              </w:rPr>
              <w:t>人力资源管理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运营管理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计量经济学B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管理沟通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物流管理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人力资源管理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</w:t>
            </w:r>
            <w:r>
              <w:rPr>
                <w:rFonts w:ascii="宋体" w:hAnsi="宋体" w:cs="宋体"/>
                <w:sz w:val="16"/>
                <w:szCs w:val="16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经济学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国际税收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电子商务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python财经大数据分析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劳动经济学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国际贸易理论与实务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公共政策学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成本会计学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商务经济学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国际税收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国际经济与贸易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成本会计学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公共政策学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国际金融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跨境电子商务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python财经大数据分析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国际商务函电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国际税收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国际结算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期货贸易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国际经济与贸易（厚生班）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公共政策学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成本会计学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国际商务函电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国际税收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国际结算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python财经大数据分析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期货贸易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跨境电子商务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国际商务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国际税收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国际金融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区域经济学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期货贸易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国际商务函电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电子信息工程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数据库原理与应用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多媒体技术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物联网技术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FPGA数字电子系统高阶设计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论文写作基础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数据科学与大数据技术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信息安全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移动应用程序设计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算法设计与分析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知识图谱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应用统计学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数据科学与大数据技术（厚生班）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信息安全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知识图谱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信息管理与信息系统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网络金融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JavaScript语言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预测方法与技术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信息系统安全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Excel财经数据分析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大数据管理与分析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电子商务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移动互联网技术实践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网络营销实战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互联网金融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客户关系管理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计算机科学与技术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数据库应用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数据挖掘技术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云计算技术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计算方法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人工智能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机器人原理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AI嵌入式开发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操作系统原理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房地产开发与管理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绿色建筑与可持续发展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房地产产品设计与研发管理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城市规划与管理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计量经济学B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工程管理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运筹学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工程监理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建设项目投资与融资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平法施工图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安装工程估价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工程造价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运筹学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工程地质与基础工程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建设项目投资与融资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平法施工图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市政工程概论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绿色建筑与可持续发展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土地资源管理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绿色建筑与可持续发展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城市规划与管理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计量经济学B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房地产项目投资与融资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资源与环境经济学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翻译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英国文学选读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外贸英语函电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中国文化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商务翻译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CATTI三级笔译备考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日语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日本概况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商务日语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商务英语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组织行为学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国际商法（双语）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翻译理论与实践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国际商务谈判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英语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英国文学选读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中国文化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笔译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高级英语口语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法学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财务报表分析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合同法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会计软件应用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法律英语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中央银行学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非诉讼纠纷解决机制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</w:t>
            </w:r>
            <w:r>
              <w:rPr>
                <w:rFonts w:ascii="宋体" w:hAnsi="宋体" w:cs="宋体"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劳动与社会保障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统计分析软件应用（含SPSS）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社会保障国际比较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保险法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法学原理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行政管理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国学与管理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信息管理概论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秘书学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统计分析软件应用（含SPSS）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sz w:val="15"/>
                <w:szCs w:val="15"/>
              </w:rPr>
              <w:t>文化产业管理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旅游策划理论与实务B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市场调查与研究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文化IP案例研究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商务礼仪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拍卖经济学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 xml:space="preserve">文化经纪与实务 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3DMAX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4.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旅游管理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商务礼仪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景观设计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虚拟现实技术（3R技术）及应用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大数据与智慧旅游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导游实务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旅游创意与策划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会展策划与管理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网络与新媒体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数据可视化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Python程序设计基础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社会化媒体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新媒体创意工坊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产品经理入门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短视频制作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金融数学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中央银行与金融监管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互联网金融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投资组合管理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保险学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休闲体育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体育舞蹈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攀岩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健身理论与指导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60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Tahoma"/>
                <w:b w:val="0"/>
                <w:bCs w:val="0"/>
                <w:color w:val="000000"/>
                <w:sz w:val="15"/>
                <w:szCs w:val="15"/>
              </w:rPr>
            </w:pPr>
            <w:r>
              <w:rPr>
                <w:rFonts w:hint="eastAsia" w:cs="Tahoma"/>
                <w:b w:val="0"/>
                <w:bCs w:val="0"/>
                <w:color w:val="000000"/>
                <w:sz w:val="15"/>
                <w:szCs w:val="15"/>
              </w:rPr>
              <w:t>体育经济管理</w:t>
            </w:r>
          </w:p>
        </w:tc>
        <w:tc>
          <w:tcPr>
            <w:tcW w:w="795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户外营地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啦啦操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体育场馆智能化运营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资本经营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商务谈判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公共政策（体育产业）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体育场馆经营与管理导论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花样跳绳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投资学A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旅游文化学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广告策划与品牌管理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</w:p>
        </w:tc>
        <w:tc>
          <w:tcPr>
            <w:tcW w:w="1195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ascii="宋体" w:hAnsi="宋体" w:cs="宋体"/>
                <w:sz w:val="16"/>
                <w:szCs w:val="16"/>
              </w:rPr>
              <w:t>22</w:t>
            </w:r>
          </w:p>
        </w:tc>
      </w:tr>
    </w:tbl>
    <w:p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注：（1）课程名称后的数字表示该课程的学分；</w:t>
      </w:r>
    </w:p>
    <w:p>
      <w:pPr>
        <w:spacing w:after="0" w:line="240" w:lineRule="exact"/>
        <w:ind w:firstLine="360" w:firstLineChars="200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（2）“专业选修课”的选课“学分要求”指整个大学阶段专业选修课</w:t>
      </w:r>
      <w:r>
        <w:rPr>
          <w:rFonts w:hint="eastAsia" w:ascii="宋体" w:hAnsi="宋体" w:cs="宋体"/>
          <w:b/>
          <w:sz w:val="18"/>
          <w:szCs w:val="18"/>
          <w:lang w:eastAsia="zh-CN"/>
        </w:rPr>
        <w:t>与暑期课程总学分</w:t>
      </w:r>
      <w:r>
        <w:rPr>
          <w:rFonts w:hint="eastAsia" w:ascii="宋体" w:hAnsi="宋体" w:cs="宋体"/>
          <w:b/>
          <w:sz w:val="18"/>
          <w:szCs w:val="18"/>
        </w:rPr>
        <w:t>的学分要求，对每学期具体选多</w:t>
      </w:r>
    </w:p>
    <w:p>
      <w:pPr>
        <w:spacing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少学分不作严格要求。</w:t>
      </w:r>
    </w:p>
    <w:p>
      <w:pPr>
        <w:jc w:val="both"/>
        <w:rPr>
          <w:rFonts w:ascii="黑体" w:eastAsia="黑体"/>
          <w:sz w:val="24"/>
        </w:rPr>
      </w:pPr>
    </w:p>
    <w:p>
      <w:pPr>
        <w:jc w:val="left"/>
        <w:rPr>
          <w:rFonts w:hint="eastAsia" w:ascii="黑体" w:eastAsia="黑体"/>
          <w:sz w:val="18"/>
          <w:szCs w:val="18"/>
          <w:lang w:eastAsia="zh-CN"/>
        </w:rPr>
      </w:pPr>
    </w:p>
    <w:p>
      <w:pPr>
        <w:jc w:val="left"/>
        <w:rPr>
          <w:rFonts w:hint="eastAsia" w:ascii="黑体" w:eastAsia="黑体"/>
          <w:sz w:val="18"/>
          <w:szCs w:val="18"/>
          <w:lang w:eastAsia="zh-CN"/>
        </w:rPr>
      </w:pPr>
    </w:p>
    <w:p>
      <w:pPr>
        <w:jc w:val="left"/>
        <w:rPr>
          <w:rFonts w:hint="eastAsia" w:ascii="黑体" w:eastAsia="黑体"/>
          <w:sz w:val="18"/>
          <w:szCs w:val="18"/>
          <w:lang w:eastAsia="zh-CN"/>
        </w:rPr>
      </w:pPr>
    </w:p>
    <w:p>
      <w:pPr>
        <w:jc w:val="left"/>
        <w:rPr>
          <w:rFonts w:hint="eastAsia" w:ascii="黑体" w:eastAsia="黑体"/>
          <w:sz w:val="18"/>
          <w:szCs w:val="18"/>
          <w:lang w:eastAsia="zh-CN"/>
        </w:rPr>
      </w:pPr>
    </w:p>
    <w:p>
      <w:pPr>
        <w:jc w:val="left"/>
        <w:rPr>
          <w:rFonts w:hint="eastAsia" w:ascii="黑体" w:eastAsia="黑体"/>
          <w:sz w:val="18"/>
          <w:szCs w:val="18"/>
          <w:lang w:eastAsia="zh-CN"/>
        </w:rPr>
      </w:pPr>
    </w:p>
    <w:p>
      <w:pPr>
        <w:jc w:val="left"/>
        <w:rPr>
          <w:rFonts w:hint="eastAsia" w:ascii="黑体" w:eastAsia="黑体"/>
          <w:sz w:val="18"/>
          <w:szCs w:val="18"/>
          <w:lang w:eastAsia="zh-CN"/>
        </w:rPr>
      </w:pPr>
    </w:p>
    <w:p>
      <w:pPr>
        <w:jc w:val="left"/>
        <w:rPr>
          <w:rFonts w:hint="default" w:ascii="黑体" w:eastAsia="黑体"/>
          <w:sz w:val="18"/>
          <w:szCs w:val="18"/>
          <w:lang w:val="en-US" w:eastAsia="zh-CN"/>
        </w:rPr>
      </w:pPr>
      <w:r>
        <w:rPr>
          <w:rFonts w:hint="eastAsia" w:ascii="黑体" w:eastAsia="黑体"/>
          <w:sz w:val="18"/>
          <w:szCs w:val="18"/>
          <w:lang w:eastAsia="zh-CN"/>
        </w:rPr>
        <w:t>附件</w:t>
      </w:r>
      <w:r>
        <w:rPr>
          <w:rFonts w:hint="eastAsia" w:ascii="黑体" w:eastAsia="黑体"/>
          <w:sz w:val="18"/>
          <w:szCs w:val="18"/>
          <w:lang w:val="en-US" w:eastAsia="zh-CN"/>
        </w:rPr>
        <w:t>3：</w:t>
      </w:r>
    </w:p>
    <w:p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  <w:sz w:val="18"/>
          <w:szCs w:val="18"/>
        </w:rPr>
        <w:t>202</w:t>
      </w:r>
      <w:r>
        <w:rPr>
          <w:rFonts w:hint="eastAsia" w:ascii="黑体" w:eastAsia="黑体"/>
          <w:sz w:val="18"/>
          <w:szCs w:val="18"/>
          <w:lang w:val="en-US" w:eastAsia="zh-CN"/>
        </w:rPr>
        <w:t>1</w:t>
      </w:r>
      <w:r>
        <w:rPr>
          <w:rFonts w:hint="eastAsia" w:ascii="黑体" w:eastAsia="黑体"/>
          <w:sz w:val="18"/>
          <w:szCs w:val="18"/>
        </w:rPr>
        <w:t>级本科专业的专业选修课</w:t>
      </w:r>
    </w:p>
    <w:p>
      <w:pPr>
        <w:spacing w:after="0" w:line="240" w:lineRule="exact"/>
        <w:jc w:val="center"/>
        <w:rPr>
          <w:rFonts w:ascii="黑体" w:eastAsia="黑体"/>
          <w:sz w:val="18"/>
          <w:szCs w:val="18"/>
        </w:rPr>
      </w:pPr>
      <w:r>
        <w:rPr>
          <w:rFonts w:hint="eastAsia" w:ascii="黑体" w:eastAsia="黑体"/>
          <w:b/>
          <w:sz w:val="21"/>
          <w:szCs w:val="21"/>
        </w:rPr>
        <w:t>202</w:t>
      </w:r>
      <w:r>
        <w:rPr>
          <w:rFonts w:hint="eastAsia" w:ascii="黑体" w:eastAsia="黑体"/>
          <w:b/>
          <w:sz w:val="21"/>
          <w:szCs w:val="21"/>
          <w:lang w:val="en-US" w:eastAsia="zh-CN"/>
        </w:rPr>
        <w:t>2</w:t>
      </w:r>
      <w:r>
        <w:rPr>
          <w:rFonts w:hint="eastAsia" w:ascii="黑体" w:eastAsia="黑体"/>
          <w:b/>
          <w:sz w:val="21"/>
          <w:szCs w:val="21"/>
        </w:rPr>
        <w:t>-202</w:t>
      </w:r>
      <w:r>
        <w:rPr>
          <w:rFonts w:hint="eastAsia" w:ascii="黑体" w:eastAsia="黑体"/>
          <w:b/>
          <w:sz w:val="21"/>
          <w:szCs w:val="21"/>
          <w:lang w:val="en-US" w:eastAsia="zh-CN"/>
        </w:rPr>
        <w:t>3</w:t>
      </w:r>
      <w:r>
        <w:rPr>
          <w:rFonts w:hint="eastAsia" w:ascii="黑体" w:eastAsia="黑体"/>
          <w:b/>
          <w:sz w:val="21"/>
          <w:szCs w:val="21"/>
        </w:rPr>
        <w:t>-</w:t>
      </w:r>
      <w:r>
        <w:rPr>
          <w:rFonts w:hint="eastAsia" w:ascii="黑体" w:eastAsia="黑体"/>
          <w:b/>
          <w:sz w:val="21"/>
          <w:szCs w:val="21"/>
          <w:lang w:val="en-US" w:eastAsia="zh-CN"/>
        </w:rPr>
        <w:t>1</w:t>
      </w:r>
      <w:r>
        <w:rPr>
          <w:rFonts w:hint="eastAsia" w:ascii="黑体" w:eastAsia="黑体"/>
          <w:sz w:val="18"/>
          <w:szCs w:val="18"/>
        </w:rPr>
        <w:t>学期选修课程一览表</w:t>
      </w:r>
    </w:p>
    <w:tbl>
      <w:tblPr>
        <w:tblStyle w:val="6"/>
        <w:tblW w:w="112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291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93" w:type="dxa"/>
            <w:vMerge w:val="restart"/>
            <w:tcBorders>
              <w:top w:val="single" w:color="auto" w:sz="12" w:space="0"/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专业</w:t>
            </w:r>
          </w:p>
        </w:tc>
        <w:tc>
          <w:tcPr>
            <w:tcW w:w="9509" w:type="dxa"/>
            <w:gridSpan w:val="2"/>
            <w:tcBorders>
              <w:top w:val="single" w:color="auto" w:sz="12" w:space="0"/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93" w:type="dxa"/>
            <w:vMerge w:val="continue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课程名称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both"/>
              <w:textAlignment w:val="auto"/>
              <w:rPr>
                <w:rFonts w:ascii="宋体" w:hAnsi="宋体" w:cs="宋体"/>
                <w:b/>
                <w:sz w:val="15"/>
                <w:szCs w:val="15"/>
              </w:rPr>
            </w:pPr>
            <w:r>
              <w:rPr>
                <w:rFonts w:hint="eastAsia" w:cs="Tahom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学分要求</w:t>
            </w:r>
            <w:r>
              <w:rPr>
                <w:rFonts w:hint="eastAsia" w:cs="Tahom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=</w:t>
            </w:r>
            <w:r>
              <w:rPr>
                <w:rFonts w:hint="eastAsia" w:cs="Tahoma"/>
                <w:color w:val="000000" w:themeColor="text1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专业选修课</w:t>
            </w:r>
            <w:r>
              <w:rPr>
                <w:rFonts w:hint="eastAsia" w:cs="Tahom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+暑期课程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会计学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微软雅黑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会计学（职高）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会计学（ACCA）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5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财务管理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财务管理（厚生班）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 w:val="16"/>
                <w:szCs w:val="16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5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审计学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财政学</w:t>
            </w:r>
            <w:bookmarkStart w:id="0" w:name="_GoBack"/>
            <w:bookmarkEnd w:id="0"/>
          </w:p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税收学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财政学（厚生班）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金融学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none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投资学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金融科技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金融学（CFA)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经济学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商务经济学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品牌管理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商务谈判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国际商法（双语）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国际商务管理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国际经济与贸易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ascii="Tahoma" w:hAnsi="Tahoma" w:eastAsia="微软雅黑" w:cs="Tahoma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国际商务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国际经济与贸易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（厚生班）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ascii="Tahoma" w:hAnsi="Tahoma" w:eastAsia="微软雅黑" w:cs="Tahoma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市场营销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ascii="Tahoma" w:hAnsi="Tahoma" w:eastAsia="微软雅黑" w:cs="Tahoma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人力资源管理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物流管理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电子商务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市场营销学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Python基础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宏观经济学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计算机科学与技术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计算机在财经中的应用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计算机专业英语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Python程序设计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信息管理与信息系统</w:t>
            </w: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电子商务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Excel财经数据分析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数据科学与大数据技术</w:t>
            </w:r>
            <w:r>
              <w:rPr>
                <w:rFonts w:hint="eastAsia" w:ascii="宋体" w:hAnsi="宋体" w:cs="宋体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数据科学与大数据技术（厚生班）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嵌入式系统开发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物联网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电子信息工程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Python语言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专业英语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信息论与编码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操作系统原理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电设竞赛基础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人工智能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智能科学专业英语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计算机网络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面向对象程序设计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4.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英语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商务英语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翻译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val="en-US" w:eastAsia="zh-CN"/>
              </w:rPr>
              <w:t>日语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ascii="Tahoma" w:hAnsi="Tahoma" w:eastAsia="微软雅黑" w:cs="Tahoma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行政管理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微软雅黑" w:cs="Tahoma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国学与管理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信息管理概论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劳动与社会保障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国学与管理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lang w:val="en-US" w:eastAsia="zh-CN"/>
              </w:rPr>
              <w:t>法学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微软雅黑" w:cs="Tahoma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中级财务会计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成本会计学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内部控制学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保险学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银行法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工程管理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Tahoma" w:hAnsi="Tahoma" w:eastAsia="微软雅黑" w:cs="Tahoma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土木工程概论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16"/>
                <w:szCs w:val="16"/>
                <w:highlight w:val="yellow"/>
                <w:u w:val="none"/>
                <w:lang w:val="en-US" w:eastAsia="zh-CN" w:bidi="ar"/>
              </w:rPr>
              <w:t>工程造价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6"/>
                <w:szCs w:val="16"/>
                <w:highlight w:val="yellow"/>
                <w:lang w:val="en-US" w:eastAsia="zh-CN"/>
              </w:rPr>
              <w:t>（1-2学期类）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土地资源管理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top"/>
          </w:tcPr>
          <w:p>
            <w:pPr>
              <w:jc w:val="left"/>
              <w:rPr>
                <w:rFonts w:ascii="Tahoma" w:hAnsi="Tahoma" w:eastAsia="微软雅黑" w:cs="Tahoma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3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房地产开发与管理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top"/>
          </w:tcPr>
          <w:p>
            <w:pPr>
              <w:jc w:val="left"/>
              <w:rPr>
                <w:rFonts w:ascii="Tahoma" w:hAnsi="Tahoma" w:eastAsia="微软雅黑" w:cs="Tahoma"/>
                <w:color w:val="00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8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人文地理与城乡规划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top"/>
          </w:tcPr>
          <w:p>
            <w:pPr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计量经济学B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0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金融数学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top"/>
          </w:tcPr>
          <w:p>
            <w:pPr>
              <w:jc w:val="left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8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经济统计学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top"/>
          </w:tcPr>
          <w:p>
            <w:pPr>
              <w:jc w:val="left"/>
              <w:rPr>
                <w:rFonts w:hint="default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C语言程序设计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(限选)2.5.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网络与新媒体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top"/>
          </w:tcPr>
          <w:p>
            <w:pPr>
              <w:jc w:val="left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7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文化产业管理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旅游管理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eastAsia="zh-CN"/>
              </w:rPr>
              <w:t>本学期无专业选修课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休闲体育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乒乓球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网球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太极拳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exact"/>
          <w:jc w:val="center"/>
        </w:trPr>
        <w:tc>
          <w:tcPr>
            <w:tcW w:w="1693" w:type="dxa"/>
            <w:tcBorders>
              <w:lef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微软雅黑" w:cs="宋体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体育经济与管理</w:t>
            </w:r>
          </w:p>
        </w:tc>
        <w:tc>
          <w:tcPr>
            <w:tcW w:w="8291" w:type="dxa"/>
            <w:tcMar>
              <w:left w:w="0" w:type="dxa"/>
              <w:right w:w="0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电子商务运营管理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足球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奥林匹克文化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218" w:type="dxa"/>
            <w:tcBorders>
              <w:right w:val="single" w:color="auto" w:sz="1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微软雅黑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22</w:t>
            </w:r>
          </w:p>
        </w:tc>
      </w:tr>
    </w:tbl>
    <w:p>
      <w:pPr>
        <w:spacing w:after="0" w:line="240" w:lineRule="exact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注：（1）课程名称后的数字表示该课程的学分；</w:t>
      </w:r>
    </w:p>
    <w:p>
      <w:pPr>
        <w:spacing w:after="0" w:line="240" w:lineRule="exact"/>
        <w:ind w:firstLine="360" w:firstLineChars="200"/>
        <w:rPr>
          <w:rFonts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（2）“专业选修课”的选课“学分要求”指整个大学阶段专业选修课</w:t>
      </w:r>
      <w:r>
        <w:rPr>
          <w:rFonts w:hint="eastAsia" w:ascii="宋体" w:hAnsi="宋体" w:cs="宋体"/>
          <w:b/>
          <w:sz w:val="18"/>
          <w:szCs w:val="18"/>
          <w:lang w:eastAsia="zh-CN"/>
        </w:rPr>
        <w:t>与暑期课程总学分</w:t>
      </w:r>
      <w:r>
        <w:rPr>
          <w:rFonts w:hint="eastAsia" w:ascii="宋体" w:hAnsi="宋体" w:cs="宋体"/>
          <w:b/>
          <w:sz w:val="18"/>
          <w:szCs w:val="18"/>
        </w:rPr>
        <w:t>的学分要求，对每学期具体选多</w:t>
      </w:r>
    </w:p>
    <w:p>
      <w:pPr>
        <w:numPr>
          <w:ilvl w:val="0"/>
          <w:numId w:val="0"/>
        </w:numPr>
        <w:adjustRightInd w:val="0"/>
        <w:snapToGrid w:val="0"/>
        <w:spacing w:after="0" w:line="240" w:lineRule="exact"/>
        <w:rPr>
          <w:rFonts w:hint="eastAsia" w:ascii="宋体" w:hAnsi="宋体" w:cs="宋体"/>
          <w:b/>
          <w:sz w:val="18"/>
          <w:szCs w:val="18"/>
          <w:lang w:eastAsia="zh-CN"/>
        </w:rPr>
      </w:pPr>
      <w:r>
        <w:rPr>
          <w:rFonts w:hint="eastAsia" w:ascii="宋体" w:hAnsi="宋体" w:cs="宋体"/>
          <w:b/>
          <w:sz w:val="18"/>
          <w:szCs w:val="18"/>
        </w:rPr>
        <w:t>少学分不作严格要求。</w:t>
      </w:r>
    </w:p>
    <w:p>
      <w:pPr>
        <w:numPr>
          <w:ilvl w:val="0"/>
          <w:numId w:val="0"/>
        </w:numPr>
        <w:adjustRightInd w:val="0"/>
        <w:snapToGrid w:val="0"/>
        <w:spacing w:after="0" w:line="240" w:lineRule="exact"/>
        <w:rPr>
          <w:rFonts w:hint="default" w:ascii="宋体" w:hAnsi="宋体" w:eastAsia="微软雅黑" w:cs="宋体"/>
          <w:b/>
          <w:sz w:val="18"/>
          <w:szCs w:val="18"/>
          <w:lang w:val="en-US" w:eastAsia="zh-CN"/>
        </w:rPr>
      </w:pPr>
      <w:r>
        <w:rPr>
          <w:rFonts w:hint="eastAsia" w:ascii="宋体" w:hAnsi="宋体" w:cs="宋体"/>
          <w:b/>
          <w:sz w:val="18"/>
          <w:szCs w:val="18"/>
          <w:lang w:eastAsia="zh-CN"/>
        </w:rPr>
        <w:t>附件</w:t>
      </w:r>
      <w:r>
        <w:rPr>
          <w:rFonts w:hint="eastAsia" w:ascii="宋体" w:hAnsi="宋体" w:cs="宋体"/>
          <w:b/>
          <w:sz w:val="18"/>
          <w:szCs w:val="18"/>
          <w:lang w:val="en-US" w:eastAsia="zh-CN"/>
        </w:rPr>
        <w:t>4：</w:t>
      </w:r>
    </w:p>
    <w:p>
      <w:pPr>
        <w:numPr>
          <w:ilvl w:val="0"/>
          <w:numId w:val="0"/>
        </w:numPr>
        <w:adjustRightInd w:val="0"/>
        <w:snapToGrid w:val="0"/>
        <w:spacing w:after="0" w:line="240" w:lineRule="exact"/>
        <w:rPr>
          <w:rFonts w:hint="eastAsia" w:ascii="宋体" w:hAnsi="宋体" w:cs="宋体"/>
          <w:b/>
          <w:sz w:val="18"/>
          <w:szCs w:val="18"/>
        </w:rPr>
      </w:pPr>
    </w:p>
    <w:p>
      <w:pPr>
        <w:numPr>
          <w:ilvl w:val="0"/>
          <w:numId w:val="0"/>
        </w:numPr>
        <w:adjustRightInd w:val="0"/>
        <w:snapToGrid w:val="0"/>
        <w:spacing w:after="0" w:line="240" w:lineRule="exact"/>
        <w:rPr>
          <w:rFonts w:hint="eastAsia" w:ascii="宋体" w:hAnsi="宋体" w:cs="宋体"/>
          <w:b/>
          <w:sz w:val="18"/>
          <w:szCs w:val="18"/>
        </w:rPr>
      </w:pPr>
    </w:p>
    <w:p>
      <w:pPr>
        <w:spacing w:line="240" w:lineRule="auto"/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2021级（专升本）本科各专业的专业选修课</w:t>
      </w:r>
    </w:p>
    <w:p>
      <w:pPr>
        <w:spacing w:line="240" w:lineRule="auto"/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202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2</w:t>
      </w:r>
      <w:r>
        <w:rPr>
          <w:rFonts w:hint="eastAsia" w:ascii="黑体" w:eastAsia="黑体"/>
          <w:b/>
          <w:sz w:val="28"/>
          <w:szCs w:val="28"/>
        </w:rPr>
        <w:t>-202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3</w:t>
      </w:r>
      <w:r>
        <w:rPr>
          <w:rFonts w:hint="eastAsia" w:ascii="黑体" w:eastAsia="黑体"/>
          <w:b/>
          <w:sz w:val="28"/>
          <w:szCs w:val="28"/>
        </w:rPr>
        <w:t>-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1</w:t>
      </w:r>
      <w:r>
        <w:rPr>
          <w:rFonts w:hint="eastAsia" w:ascii="黑体" w:eastAsia="黑体"/>
          <w:sz w:val="28"/>
          <w:szCs w:val="28"/>
        </w:rPr>
        <w:t>学期选修课程一览表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7787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02" w:type="dxa"/>
            <w:vMerge w:val="restart"/>
            <w:tcBorders>
              <w:top w:val="single" w:color="auto" w:sz="12" w:space="0"/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专业</w:t>
            </w:r>
          </w:p>
        </w:tc>
        <w:tc>
          <w:tcPr>
            <w:tcW w:w="883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专业选修课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002" w:type="dxa"/>
            <w:vMerge w:val="continue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</w:p>
        </w:tc>
        <w:tc>
          <w:tcPr>
            <w:tcW w:w="7787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sz w:val="16"/>
                <w:szCs w:val="16"/>
              </w:rPr>
              <w:t>课程名称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cs="Tahom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ahoma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学分要求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会计学（专升本）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内部控制学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政府会计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税务会计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计量经济学B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国际贸易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金融学（专升本）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金融计量学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个人理财学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金融市场学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区块链金融B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投资学B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Excel在金融决策中的应用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市场营销（专升本）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营销创新与创业专题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新零售运营与实践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商业大数据分析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创意文案写作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人力资源管理（专升本）</w:t>
            </w:r>
          </w:p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</w:p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公共关系学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中小企业人力资源管理实务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劳动关系管理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企业文化理论与实务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管理思想史（双语）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劳动与社会保障法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档案管理学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社会保障概论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5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物流管理（专升本）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物流仿真模拟实验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物流操作综合实训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人力资源管理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5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国际经济与贸易（专升本）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国际商法（双语）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国际商务谈判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区域经济学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国际货运代理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国际商务礼仪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电子信息工程（专升本）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传感器原理与应用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银行计算机系统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物联网技术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数字图像处理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DSP系统应用技术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自动检测技术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金融电子设备应用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数据可视化与分析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软件工程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7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电子商务（专升本）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移动互联网技术实践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跨境电子商务实操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商务数据分析实操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网络媒体与视觉传达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计算机科学与技术（专升本）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云计算基础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数据挖掘技术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物联网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网络信息安全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工程管理（专升本）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运筹学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工程专业英语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BIM软件应用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装配式建筑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工程索赔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房地产开发与管理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宏观经济学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3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工程造价（专升本）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市政工程概论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宏观经济学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BIM软件应用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装配式建筑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工程专业英语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房地产开发与管理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2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房地产开发与管理（专升本）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房地产开发成本管理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房地产经济前沿专题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计量经济学B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商业地产运营管理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BIM软件应用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城市经济学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房地产专业英语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绿色建筑与可持续发展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商务英语（专升本）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语言学导论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国际商务谈判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color w:val="auto"/>
                <w:sz w:val="18"/>
                <w:szCs w:val="18"/>
                <w:highlight w:val="none"/>
              </w:rPr>
              <w:t>口译模拟实训（英）</w:t>
            </w:r>
            <w:r>
              <w:rPr>
                <w:rFonts w:hint="eastAsia" w:ascii="微软雅黑" w:hAnsi="微软雅黑" w:cs="微软雅黑"/>
                <w:color w:val="auto"/>
                <w:sz w:val="18"/>
                <w:szCs w:val="18"/>
                <w:highlight w:val="none"/>
                <w:lang w:val="en-US" w:eastAsia="zh-CN"/>
              </w:rPr>
              <w:t>(实践)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国际商法（双语）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国际市场营销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法学（专升本）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法学案例研究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会计假帐法律治理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保险法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经济犯罪调查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合同法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法律英语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银行法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非诉讼纠纷解决机制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法律文书写作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2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行政管理（专升本）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秘书学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地方政府学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申论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行政职业能力专题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劳动与社会保障（专升本）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保险法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公共部门人力资源管理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国家公务员制度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行政职业能力专题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申论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社会保障国际比较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人口学概论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网络与新媒体（专升本）</w:t>
            </w:r>
          </w:p>
        </w:tc>
        <w:tc>
          <w:tcPr>
            <w:tcW w:w="7787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融媒体与大数据工程实践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产品经理入门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市场调查与研究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Python程序设计基础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社会化媒体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媒体产业经营与管理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旅游管理（专升本）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旅游规划与制图（ArcGIS）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主题公园开发与管理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遗产旅游策划与管理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旅游演艺理论与实践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金融数学（专升本）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SPSS数据统计与分析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证券投资学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Matlab软件应用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金融工程学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金融计算与设计A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2.5.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数学模型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互联网金融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个人理财学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exact"/>
          <w:jc w:val="center"/>
        </w:trPr>
        <w:tc>
          <w:tcPr>
            <w:tcW w:w="2002" w:type="dxa"/>
            <w:tcBorders>
              <w:lef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4"/>
                <w:szCs w:val="14"/>
                <w:lang w:val="en-US" w:eastAsia="zh-CN"/>
              </w:rPr>
              <w:t>休闲体育（专升本）</w:t>
            </w:r>
          </w:p>
        </w:tc>
        <w:tc>
          <w:tcPr>
            <w:tcW w:w="7787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微软雅黑" w:hAnsi="微软雅黑" w:eastAsia="微软雅黑" w:cs="微软雅黑"/>
                <w:sz w:val="14"/>
                <w:szCs w:val="1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体育礼仪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乒乓球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网球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体育产业概论</w:t>
            </w:r>
            <w:r>
              <w:rPr>
                <w:rFonts w:hint="eastAsia" w:ascii="微软雅黑" w:hAnsi="微软雅黑" w:cs="微软雅黑"/>
                <w:sz w:val="18"/>
                <w:szCs w:val="18"/>
                <w:lang w:val="en-US" w:eastAsia="zh-CN"/>
              </w:rPr>
              <w:t>2.</w:t>
            </w:r>
          </w:p>
        </w:tc>
        <w:tc>
          <w:tcPr>
            <w:tcW w:w="1049" w:type="dxa"/>
            <w:tcBorders>
              <w:right w:val="single" w:color="auto" w:sz="12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cs="宋体"/>
                <w:sz w:val="16"/>
                <w:szCs w:val="16"/>
                <w:lang w:val="en-US" w:eastAsia="zh-CN"/>
              </w:rPr>
              <w:t>15</w:t>
            </w:r>
          </w:p>
        </w:tc>
      </w:tr>
    </w:tbl>
    <w:p>
      <w:pPr>
        <w:spacing w:after="0" w:line="240" w:lineRule="exact"/>
        <w:ind w:firstLine="540" w:firstLineChars="300"/>
        <w:rPr>
          <w:rFonts w:hint="eastAsia"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注：（1）课程名称后的数字表示该课程的学分；</w:t>
      </w:r>
    </w:p>
    <w:p>
      <w:pPr>
        <w:spacing w:after="0" w:line="240" w:lineRule="exact"/>
        <w:ind w:firstLine="900" w:firstLineChars="500"/>
        <w:rPr>
          <w:rFonts w:hint="eastAsia"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  <w:sz w:val="18"/>
          <w:szCs w:val="18"/>
        </w:rPr>
        <w:t>（2）“专业选修课”的选课“学分要求”指整个本科阶段专业选修课的学分要求，对每学期具体选多少学分不作严格要求。</w:t>
      </w:r>
    </w:p>
    <w:p>
      <w:pPr>
        <w:numPr>
          <w:ilvl w:val="0"/>
          <w:numId w:val="0"/>
        </w:numPr>
        <w:adjustRightInd w:val="0"/>
        <w:snapToGrid w:val="0"/>
        <w:spacing w:after="0" w:line="240" w:lineRule="exact"/>
        <w:rPr>
          <w:rFonts w:hint="eastAsia" w:ascii="宋体" w:hAnsi="宋体" w:cs="宋体"/>
          <w:b/>
          <w:sz w:val="18"/>
          <w:szCs w:val="18"/>
        </w:rPr>
      </w:pPr>
    </w:p>
    <w:sectPr>
      <w:pgSz w:w="11906" w:h="16838"/>
      <w:pgMar w:top="238" w:right="284" w:bottom="227" w:left="312" w:header="567" w:footer="56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rawingGridHorizontalSpacing w:val="11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2JlYTZiOTY1OTEyMzIxMTQ1Nzg3YmQ4YmNiYmQifQ=="/>
  </w:docVars>
  <w:rsids>
    <w:rsidRoot w:val="00D31D50"/>
    <w:rsid w:val="00005AF4"/>
    <w:rsid w:val="0002449D"/>
    <w:rsid w:val="00026424"/>
    <w:rsid w:val="00035134"/>
    <w:rsid w:val="0003564B"/>
    <w:rsid w:val="000358FB"/>
    <w:rsid w:val="000427C0"/>
    <w:rsid w:val="00061474"/>
    <w:rsid w:val="000922C5"/>
    <w:rsid w:val="000A18D9"/>
    <w:rsid w:val="000C739F"/>
    <w:rsid w:val="000C7677"/>
    <w:rsid w:val="000C771F"/>
    <w:rsid w:val="000D2A9F"/>
    <w:rsid w:val="001174C0"/>
    <w:rsid w:val="0012075A"/>
    <w:rsid w:val="00146549"/>
    <w:rsid w:val="00166D80"/>
    <w:rsid w:val="00186749"/>
    <w:rsid w:val="0019257E"/>
    <w:rsid w:val="001B2750"/>
    <w:rsid w:val="001D323C"/>
    <w:rsid w:val="001D6AD1"/>
    <w:rsid w:val="0021542E"/>
    <w:rsid w:val="002260AA"/>
    <w:rsid w:val="002760E8"/>
    <w:rsid w:val="0027640C"/>
    <w:rsid w:val="00291349"/>
    <w:rsid w:val="00292A9A"/>
    <w:rsid w:val="00293D65"/>
    <w:rsid w:val="002A573A"/>
    <w:rsid w:val="002A7B3D"/>
    <w:rsid w:val="002C0E07"/>
    <w:rsid w:val="002C2C2C"/>
    <w:rsid w:val="002D17BD"/>
    <w:rsid w:val="002E577B"/>
    <w:rsid w:val="002E7E8D"/>
    <w:rsid w:val="00323B43"/>
    <w:rsid w:val="003565F0"/>
    <w:rsid w:val="00391293"/>
    <w:rsid w:val="003A5F06"/>
    <w:rsid w:val="003B32F1"/>
    <w:rsid w:val="003C5D80"/>
    <w:rsid w:val="003C6D7E"/>
    <w:rsid w:val="003D37D8"/>
    <w:rsid w:val="00410513"/>
    <w:rsid w:val="00426133"/>
    <w:rsid w:val="00426A03"/>
    <w:rsid w:val="00432B45"/>
    <w:rsid w:val="00435103"/>
    <w:rsid w:val="004358AB"/>
    <w:rsid w:val="00442065"/>
    <w:rsid w:val="0044643C"/>
    <w:rsid w:val="00452D04"/>
    <w:rsid w:val="00467ED8"/>
    <w:rsid w:val="0047585E"/>
    <w:rsid w:val="004A498A"/>
    <w:rsid w:val="00523EC0"/>
    <w:rsid w:val="00547B37"/>
    <w:rsid w:val="005505AC"/>
    <w:rsid w:val="005B79B0"/>
    <w:rsid w:val="005C17F6"/>
    <w:rsid w:val="0060200F"/>
    <w:rsid w:val="0060428A"/>
    <w:rsid w:val="00615D29"/>
    <w:rsid w:val="00621A38"/>
    <w:rsid w:val="00622390"/>
    <w:rsid w:val="00631617"/>
    <w:rsid w:val="0066095C"/>
    <w:rsid w:val="00672AFF"/>
    <w:rsid w:val="00692F62"/>
    <w:rsid w:val="006A04AD"/>
    <w:rsid w:val="006B53A2"/>
    <w:rsid w:val="006C22D9"/>
    <w:rsid w:val="006F4D37"/>
    <w:rsid w:val="00704D98"/>
    <w:rsid w:val="007539C2"/>
    <w:rsid w:val="007A5C27"/>
    <w:rsid w:val="007B0BFA"/>
    <w:rsid w:val="007B27BB"/>
    <w:rsid w:val="007B5FE3"/>
    <w:rsid w:val="007C6968"/>
    <w:rsid w:val="00821083"/>
    <w:rsid w:val="00822259"/>
    <w:rsid w:val="00831F1A"/>
    <w:rsid w:val="008409C3"/>
    <w:rsid w:val="00843679"/>
    <w:rsid w:val="0085492B"/>
    <w:rsid w:val="00855F7E"/>
    <w:rsid w:val="00866BAD"/>
    <w:rsid w:val="0087090E"/>
    <w:rsid w:val="008816AA"/>
    <w:rsid w:val="00887599"/>
    <w:rsid w:val="00897576"/>
    <w:rsid w:val="008B3845"/>
    <w:rsid w:val="008B7726"/>
    <w:rsid w:val="008C2A8F"/>
    <w:rsid w:val="008C466C"/>
    <w:rsid w:val="008F3103"/>
    <w:rsid w:val="00906306"/>
    <w:rsid w:val="0091385B"/>
    <w:rsid w:val="0091669F"/>
    <w:rsid w:val="0093261B"/>
    <w:rsid w:val="0093305C"/>
    <w:rsid w:val="0096331D"/>
    <w:rsid w:val="00977F9E"/>
    <w:rsid w:val="009B6E10"/>
    <w:rsid w:val="009C04BE"/>
    <w:rsid w:val="009E34DF"/>
    <w:rsid w:val="009E7898"/>
    <w:rsid w:val="009F347F"/>
    <w:rsid w:val="009F45B5"/>
    <w:rsid w:val="00A00DA7"/>
    <w:rsid w:val="00A01C47"/>
    <w:rsid w:val="00A057A2"/>
    <w:rsid w:val="00A362D7"/>
    <w:rsid w:val="00A46887"/>
    <w:rsid w:val="00A57D80"/>
    <w:rsid w:val="00A64F31"/>
    <w:rsid w:val="00A81188"/>
    <w:rsid w:val="00AB1CF4"/>
    <w:rsid w:val="00AC6371"/>
    <w:rsid w:val="00B14FEF"/>
    <w:rsid w:val="00B50A83"/>
    <w:rsid w:val="00B70DB1"/>
    <w:rsid w:val="00BC546D"/>
    <w:rsid w:val="00BC6AEB"/>
    <w:rsid w:val="00BC7F9F"/>
    <w:rsid w:val="00BF0A2B"/>
    <w:rsid w:val="00C3706A"/>
    <w:rsid w:val="00C461F1"/>
    <w:rsid w:val="00C46D40"/>
    <w:rsid w:val="00C51315"/>
    <w:rsid w:val="00C514DD"/>
    <w:rsid w:val="00C627CB"/>
    <w:rsid w:val="00C742EF"/>
    <w:rsid w:val="00C767F5"/>
    <w:rsid w:val="00CD55ED"/>
    <w:rsid w:val="00D0038F"/>
    <w:rsid w:val="00D246DA"/>
    <w:rsid w:val="00D26FCD"/>
    <w:rsid w:val="00D31D50"/>
    <w:rsid w:val="00D35AB3"/>
    <w:rsid w:val="00D45964"/>
    <w:rsid w:val="00D53C24"/>
    <w:rsid w:val="00D658CA"/>
    <w:rsid w:val="00D65C42"/>
    <w:rsid w:val="00D828BB"/>
    <w:rsid w:val="00D8472F"/>
    <w:rsid w:val="00D8745D"/>
    <w:rsid w:val="00D9080C"/>
    <w:rsid w:val="00D97070"/>
    <w:rsid w:val="00DC0393"/>
    <w:rsid w:val="00DD4372"/>
    <w:rsid w:val="00DE20A3"/>
    <w:rsid w:val="00E012A8"/>
    <w:rsid w:val="00E079D5"/>
    <w:rsid w:val="00E109A3"/>
    <w:rsid w:val="00E550D5"/>
    <w:rsid w:val="00E726D2"/>
    <w:rsid w:val="00F1593B"/>
    <w:rsid w:val="00F21D08"/>
    <w:rsid w:val="00F31CAE"/>
    <w:rsid w:val="00F3421F"/>
    <w:rsid w:val="00F35A7E"/>
    <w:rsid w:val="00F43410"/>
    <w:rsid w:val="00F65823"/>
    <w:rsid w:val="00F7497C"/>
    <w:rsid w:val="00F91DAA"/>
    <w:rsid w:val="00FB44D1"/>
    <w:rsid w:val="00FB55B1"/>
    <w:rsid w:val="00FC63BD"/>
    <w:rsid w:val="00FC63DA"/>
    <w:rsid w:val="00FE4B1A"/>
    <w:rsid w:val="00FF4EC2"/>
    <w:rsid w:val="05BE2976"/>
    <w:rsid w:val="092A7947"/>
    <w:rsid w:val="09646730"/>
    <w:rsid w:val="09863217"/>
    <w:rsid w:val="0A94701F"/>
    <w:rsid w:val="0B540548"/>
    <w:rsid w:val="0B617C54"/>
    <w:rsid w:val="0EC57BC5"/>
    <w:rsid w:val="109B71AD"/>
    <w:rsid w:val="13702B73"/>
    <w:rsid w:val="14BA09AE"/>
    <w:rsid w:val="15760454"/>
    <w:rsid w:val="15D02FB4"/>
    <w:rsid w:val="1651707E"/>
    <w:rsid w:val="167D5A63"/>
    <w:rsid w:val="16D72F09"/>
    <w:rsid w:val="17EE22B8"/>
    <w:rsid w:val="18CD0120"/>
    <w:rsid w:val="1BC52D4B"/>
    <w:rsid w:val="1D856363"/>
    <w:rsid w:val="1D8F3124"/>
    <w:rsid w:val="20075079"/>
    <w:rsid w:val="21AF5AB7"/>
    <w:rsid w:val="22946A3D"/>
    <w:rsid w:val="233532DB"/>
    <w:rsid w:val="23AB3F06"/>
    <w:rsid w:val="24284DA4"/>
    <w:rsid w:val="252D3BE9"/>
    <w:rsid w:val="28D70D73"/>
    <w:rsid w:val="29513704"/>
    <w:rsid w:val="2AF47E26"/>
    <w:rsid w:val="2B153A3F"/>
    <w:rsid w:val="2EA80ADF"/>
    <w:rsid w:val="2EC27BA3"/>
    <w:rsid w:val="2EF8320D"/>
    <w:rsid w:val="2F803CE6"/>
    <w:rsid w:val="2F820E6F"/>
    <w:rsid w:val="326954EA"/>
    <w:rsid w:val="33BC1065"/>
    <w:rsid w:val="36D61D1E"/>
    <w:rsid w:val="3756236C"/>
    <w:rsid w:val="37917EF7"/>
    <w:rsid w:val="385C0EAD"/>
    <w:rsid w:val="3914549F"/>
    <w:rsid w:val="39576E34"/>
    <w:rsid w:val="3A152C56"/>
    <w:rsid w:val="3A9F2048"/>
    <w:rsid w:val="3AF9494C"/>
    <w:rsid w:val="3B7B6A6C"/>
    <w:rsid w:val="3C076303"/>
    <w:rsid w:val="3C7960BB"/>
    <w:rsid w:val="3D3E0D3C"/>
    <w:rsid w:val="3DFB24D0"/>
    <w:rsid w:val="3E004E96"/>
    <w:rsid w:val="3E1321C9"/>
    <w:rsid w:val="3E5A6583"/>
    <w:rsid w:val="3E6D55BB"/>
    <w:rsid w:val="3F1E1C0D"/>
    <w:rsid w:val="3F3C2624"/>
    <w:rsid w:val="469A594E"/>
    <w:rsid w:val="477E21D8"/>
    <w:rsid w:val="47CE03D4"/>
    <w:rsid w:val="494D5457"/>
    <w:rsid w:val="49520049"/>
    <w:rsid w:val="4999531C"/>
    <w:rsid w:val="4F204746"/>
    <w:rsid w:val="4FD45875"/>
    <w:rsid w:val="4FE34A97"/>
    <w:rsid w:val="50115005"/>
    <w:rsid w:val="50C3263F"/>
    <w:rsid w:val="51696CA3"/>
    <w:rsid w:val="51DF4444"/>
    <w:rsid w:val="53C1284C"/>
    <w:rsid w:val="546E77AC"/>
    <w:rsid w:val="5677194C"/>
    <w:rsid w:val="567A298E"/>
    <w:rsid w:val="58CA5150"/>
    <w:rsid w:val="59605E38"/>
    <w:rsid w:val="59AE316D"/>
    <w:rsid w:val="5A166E71"/>
    <w:rsid w:val="5A97388C"/>
    <w:rsid w:val="5B1237DC"/>
    <w:rsid w:val="5C734107"/>
    <w:rsid w:val="5DF3340F"/>
    <w:rsid w:val="60601062"/>
    <w:rsid w:val="609805E0"/>
    <w:rsid w:val="631A3A4C"/>
    <w:rsid w:val="63A8735F"/>
    <w:rsid w:val="642C6DBE"/>
    <w:rsid w:val="647B4CD5"/>
    <w:rsid w:val="65CD5ACE"/>
    <w:rsid w:val="69A9644F"/>
    <w:rsid w:val="6B4413E8"/>
    <w:rsid w:val="6C037E05"/>
    <w:rsid w:val="6D467477"/>
    <w:rsid w:val="6D5C369D"/>
    <w:rsid w:val="6DCC5250"/>
    <w:rsid w:val="6E3D27C7"/>
    <w:rsid w:val="6EF248DB"/>
    <w:rsid w:val="701D68BA"/>
    <w:rsid w:val="70411969"/>
    <w:rsid w:val="705C5925"/>
    <w:rsid w:val="713D040C"/>
    <w:rsid w:val="71E21842"/>
    <w:rsid w:val="75886B7D"/>
    <w:rsid w:val="77442BF4"/>
    <w:rsid w:val="7864712D"/>
    <w:rsid w:val="78A951CF"/>
    <w:rsid w:val="7B6C5DF4"/>
    <w:rsid w:val="7CA011F2"/>
    <w:rsid w:val="7EC00FD6"/>
    <w:rsid w:val="7FB5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widowControl w:val="0"/>
      <w:adjustRightInd/>
      <w:snapToGrid/>
      <w:spacing w:after="0"/>
      <w:ind w:left="100" w:leftChars="25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unhideWhenUsed/>
    <w:qFormat/>
    <w:uiPriority w:val="99"/>
    <w:pPr>
      <w:widowControl w:val="0"/>
      <w:spacing w:after="0" w:line="240" w:lineRule="auto"/>
      <w:jc w:val="both"/>
    </w:pPr>
    <w:rPr>
      <w:rFonts w:ascii="黑体" w:hAnsi="Times New Roman" w:eastAsia="黑体" w:cs="Times New Roman"/>
      <w:kern w:val="13"/>
      <w:sz w:val="24"/>
      <w:szCs w:val="28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semiHidden/>
    <w:unhideWhenUsed/>
    <w:qFormat/>
    <w:uiPriority w:val="99"/>
    <w:rPr>
      <w:rFonts w:hint="eastAsia" w:ascii="微软雅黑" w:hAnsi="微软雅黑" w:eastAsia="微软雅黑" w:cs="微软雅黑"/>
      <w:color w:val="0C5FC0"/>
      <w:sz w:val="14"/>
      <w:szCs w:val="14"/>
      <w:u w:val="none"/>
    </w:rPr>
  </w:style>
  <w:style w:type="character" w:styleId="10">
    <w:name w:val="Hyperlink"/>
    <w:basedOn w:val="8"/>
    <w:semiHidden/>
    <w:unhideWhenUsed/>
    <w:qFormat/>
    <w:uiPriority w:val="99"/>
    <w:rPr>
      <w:rFonts w:ascii="微软雅黑" w:hAnsi="微软雅黑" w:eastAsia="微软雅黑" w:cs="微软雅黑"/>
      <w:color w:val="0C5FC0"/>
      <w:sz w:val="14"/>
      <w:szCs w:val="14"/>
      <w:u w:val="none"/>
    </w:rPr>
  </w:style>
  <w:style w:type="character" w:customStyle="1" w:styleId="11">
    <w:name w:val="页眉 Char"/>
    <w:basedOn w:val="8"/>
    <w:link w:val="4"/>
    <w:qFormat/>
    <w:uiPriority w:val="0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3"/>
    <w:qFormat/>
    <w:uiPriority w:val="0"/>
    <w:rPr>
      <w:rFonts w:ascii="Tahoma" w:hAnsi="Tahoma"/>
      <w:sz w:val="18"/>
      <w:szCs w:val="18"/>
    </w:rPr>
  </w:style>
  <w:style w:type="character" w:customStyle="1" w:styleId="13">
    <w:name w:val="日期 Char"/>
    <w:basedOn w:val="8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Table Paragraph"/>
    <w:qFormat/>
    <w:uiPriority w:val="1"/>
    <w:pPr>
      <w:widowControl w:val="0"/>
      <w:autoSpaceDE w:val="0"/>
      <w:autoSpaceDN w:val="0"/>
      <w:spacing w:after="0" w:line="240" w:lineRule="auto"/>
    </w:pPr>
    <w:rPr>
      <w:rFonts w:ascii="微软雅黑" w:hAnsi="微软雅黑" w:eastAsia="微软雅黑" w:cs="微软雅黑"/>
      <w:sz w:val="22"/>
      <w:szCs w:val="24"/>
      <w:lang w:val="zh-CN" w:eastAsia="zh-CN" w:bidi="zh-CN"/>
    </w:rPr>
  </w:style>
  <w:style w:type="character" w:customStyle="1" w:styleId="16">
    <w:name w:val="l-btn-empty"/>
    <w:basedOn w:val="8"/>
    <w:qFormat/>
    <w:uiPriority w:val="0"/>
  </w:style>
  <w:style w:type="character" w:customStyle="1" w:styleId="17">
    <w:name w:val="l-btn-icon-left"/>
    <w:basedOn w:val="8"/>
    <w:qFormat/>
    <w:uiPriority w:val="0"/>
  </w:style>
  <w:style w:type="character" w:customStyle="1" w:styleId="18">
    <w:name w:val="l-btn-left"/>
    <w:basedOn w:val="8"/>
    <w:qFormat/>
    <w:uiPriority w:val="0"/>
  </w:style>
  <w:style w:type="character" w:customStyle="1" w:styleId="19">
    <w:name w:val="l-btn-left1"/>
    <w:basedOn w:val="8"/>
    <w:qFormat/>
    <w:uiPriority w:val="0"/>
  </w:style>
  <w:style w:type="character" w:customStyle="1" w:styleId="20">
    <w:name w:val="l-btn-left2"/>
    <w:basedOn w:val="8"/>
    <w:qFormat/>
    <w:uiPriority w:val="0"/>
  </w:style>
  <w:style w:type="character" w:customStyle="1" w:styleId="21">
    <w:name w:val="l-btn-left3"/>
    <w:basedOn w:val="8"/>
    <w:qFormat/>
    <w:uiPriority w:val="0"/>
  </w:style>
  <w:style w:type="character" w:customStyle="1" w:styleId="22">
    <w:name w:val="l-btn-text"/>
    <w:basedOn w:val="8"/>
    <w:qFormat/>
    <w:uiPriority w:val="0"/>
    <w:rPr>
      <w:sz w:val="14"/>
      <w:szCs w:val="14"/>
      <w:vertAlign w:val="baseline"/>
    </w:rPr>
  </w:style>
  <w:style w:type="character" w:customStyle="1" w:styleId="23">
    <w:name w:val="l-btn-icon-right"/>
    <w:basedOn w:val="8"/>
    <w:qFormat/>
    <w:uiPriority w:val="0"/>
  </w:style>
  <w:style w:type="character" w:customStyle="1" w:styleId="24">
    <w:name w:val="l-btn-left4"/>
    <w:basedOn w:val="8"/>
    <w:qFormat/>
    <w:uiPriority w:val="0"/>
  </w:style>
  <w:style w:type="character" w:customStyle="1" w:styleId="25">
    <w:name w:val="l-btn-left5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065A19-BDCF-417B-9A77-F92F5E929B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6198</Words>
  <Characters>7340</Characters>
  <Lines>278</Lines>
  <Paragraphs>78</Paragraphs>
  <TotalTime>85</TotalTime>
  <ScaleCrop>false</ScaleCrop>
  <LinksUpToDate>false</LinksUpToDate>
  <CharactersWithSpaces>7341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2022-05-06T01:52:52Z</dcterms:modified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A2595C4C10BC400F805448B66A15B42D</vt:lpwstr>
  </property>
</Properties>
</file>